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7FA" w:rsidRDefault="006B57FA" w:rsidP="006B57FA">
      <w:pPr>
        <w:keepNext/>
        <w:spacing w:before="20" w:after="20" w:line="240" w:lineRule="auto"/>
        <w:outlineLvl w:val="3"/>
        <w:rPr>
          <w:rFonts w:ascii="Times New Roman" w:eastAsia="Times New Roman" w:hAnsi="Times New Roman" w:cs="Times New Roman"/>
          <w:b/>
          <w:bCs/>
          <w:noProof/>
          <w:color w:val="000000"/>
          <w:sz w:val="24"/>
          <w:szCs w:val="28"/>
          <w:lang w:val="bg-BG"/>
        </w:rPr>
      </w:pPr>
      <w:bookmarkStart w:id="0" w:name="_Toc256001057"/>
      <w:r w:rsidRPr="006B57FA">
        <w:rPr>
          <w:rFonts w:ascii="Times New Roman" w:eastAsia="Times New Roman" w:hAnsi="Times New Roman" w:cs="Times New Roman"/>
          <w:b/>
          <w:bCs/>
          <w:noProof/>
          <w:color w:val="000000"/>
          <w:sz w:val="24"/>
          <w:szCs w:val="28"/>
          <w:lang w:val="en-US"/>
        </w:rPr>
        <w:t>II.А.7  - Традиционни практики за сезонна паша (пасторализъм)</w:t>
      </w:r>
      <w:bookmarkEnd w:id="0"/>
    </w:p>
    <w:p w:rsidR="006B57FA" w:rsidRPr="006B57FA" w:rsidRDefault="006B57FA" w:rsidP="006B57FA">
      <w:pPr>
        <w:keepNext/>
        <w:spacing w:before="20" w:after="20" w:line="240" w:lineRule="auto"/>
        <w:outlineLvl w:val="3"/>
        <w:rPr>
          <w:rFonts w:ascii="Times New Roman" w:eastAsia="Times New Roman" w:hAnsi="Times New Roman" w:cs="Times New Roman"/>
          <w:b/>
          <w:bCs/>
          <w:color w:val="000000"/>
          <w:sz w:val="24"/>
          <w:szCs w:val="28"/>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6378"/>
      </w:tblGrid>
      <w:tr w:rsidR="006B57FA" w:rsidRPr="006B57FA" w:rsidTr="00053082">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Intervention Code (MS)</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 xml:space="preserve">II.А.7 </w:t>
            </w:r>
          </w:p>
        </w:tc>
      </w:tr>
      <w:tr w:rsidR="006B57FA" w:rsidRPr="006B57FA"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Име на интервенцията</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 xml:space="preserve">Традиционни практики за сезонна паша (пасторализъм) </w:t>
            </w:r>
          </w:p>
        </w:tc>
      </w:tr>
      <w:tr w:rsidR="006B57FA" w:rsidRPr="006B57FA"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Вид интервенция</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ENVCLIM(70) - Environmental, climate-related and other management commitments</w:t>
            </w:r>
          </w:p>
        </w:tc>
      </w:tr>
      <w:tr w:rsidR="006B57FA" w:rsidRPr="006B57FA"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Общ показател за крайния продукт</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O.14. Number of hectares (excluding forestry) or number of other units covered by environmental or climate-related commitments going beyond mandatory requirements</w:t>
            </w:r>
          </w:p>
        </w:tc>
      </w:tr>
      <w:tr w:rsidR="006B57FA" w:rsidRPr="006B57FA"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Contributing to ringfencing requirement for/on</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Приемственост между поколенията: Не</w:t>
            </w:r>
          </w:p>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Околна среда: Да</w:t>
            </w:r>
          </w:p>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ES rebate system: Не</w:t>
            </w:r>
          </w:p>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Подход LEADER: Не</w:t>
            </w:r>
          </w:p>
        </w:tc>
      </w:tr>
    </w:tbl>
    <w:p w:rsidR="006B57FA" w:rsidRPr="006B57FA" w:rsidRDefault="006B57FA" w:rsidP="006B57FA">
      <w:pPr>
        <w:spacing w:before="20" w:after="20" w:line="240" w:lineRule="auto"/>
        <w:outlineLvl w:val="4"/>
        <w:rPr>
          <w:rFonts w:ascii="Times New Roman" w:eastAsia="Times New Roman" w:hAnsi="Times New Roman" w:cs="Times New Roman"/>
          <w:bCs/>
          <w:iCs/>
          <w:color w:val="000000"/>
          <w:sz w:val="24"/>
          <w:szCs w:val="26"/>
          <w:lang w:val="en-US"/>
        </w:rPr>
      </w:pPr>
      <w:bookmarkStart w:id="1" w:name="_Toc256001058"/>
      <w:r w:rsidRPr="006B57FA">
        <w:rPr>
          <w:rFonts w:ascii="Times New Roman" w:eastAsia="Times New Roman" w:hAnsi="Times New Roman" w:cs="Times New Roman"/>
          <w:bCs/>
          <w:iCs/>
          <w:noProof/>
          <w:color w:val="000000"/>
          <w:sz w:val="24"/>
          <w:szCs w:val="26"/>
          <w:lang w:val="en-US"/>
        </w:rPr>
        <w:t>1 Territorial scope and, if relevant, regional dimension</w:t>
      </w:r>
      <w:bookmarkEnd w:id="1"/>
    </w:p>
    <w:p w:rsidR="006B57FA" w:rsidRPr="006B57FA" w:rsidRDefault="006B57FA" w:rsidP="006B57FA">
      <w:pPr>
        <w:spacing w:before="20" w:after="20" w:line="240" w:lineRule="auto"/>
        <w:rPr>
          <w:rFonts w:ascii="Times New Roman" w:eastAsia="Times New Roman" w:hAnsi="Times New Roman" w:cs="Times New Roman"/>
          <w:color w:val="000000"/>
          <w:sz w:val="0"/>
          <w:szCs w:val="24"/>
          <w:lang w:val="en-US"/>
        </w:rPr>
      </w:pPr>
      <w:r w:rsidRPr="006B57FA">
        <w:rPr>
          <w:rFonts w:ascii="Times New Roman" w:eastAsia="Times New Roman" w:hAnsi="Times New Roman" w:cs="Times New Roman"/>
          <w:noProof/>
          <w:color w:val="000000"/>
          <w:sz w:val="24"/>
          <w:szCs w:val="24"/>
          <w:lang w:val="en-US"/>
        </w:rPr>
        <w:t xml:space="preserve">Териториално приложение: </w:t>
      </w:r>
      <w:r w:rsidRPr="006B57FA">
        <w:rPr>
          <w:rFonts w:ascii="Times New Roman" w:eastAsia="Times New Roman" w:hAnsi="Times New Roman" w:cs="Times New Roman"/>
          <w:b/>
          <w:noProof/>
          <w:color w:val="000000"/>
          <w:sz w:val="24"/>
          <w:szCs w:val="24"/>
          <w:lang w:val="en-US"/>
        </w:rPr>
        <w:t>Национално равнище</w:t>
      </w:r>
    </w:p>
    <w:p w:rsidR="006B57FA" w:rsidRPr="006B57FA" w:rsidRDefault="006B57FA" w:rsidP="006B57FA">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6378"/>
      </w:tblGrid>
      <w:tr w:rsidR="006B57FA" w:rsidRPr="006B57FA" w:rsidTr="00053082">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rsidR="006B57FA" w:rsidRPr="006B57FA" w:rsidRDefault="006B57FA" w:rsidP="006B57FA">
            <w:pPr>
              <w:spacing w:before="20" w:after="20" w:line="240" w:lineRule="auto"/>
              <w:rPr>
                <w:rFonts w:ascii="Times New Roman" w:eastAsia="Times New Roman" w:hAnsi="Times New Roman" w:cs="Times New Roman"/>
                <w:b/>
                <w:color w:val="000000"/>
                <w:sz w:val="20"/>
                <w:szCs w:val="24"/>
                <w:lang w:val="en-US"/>
              </w:rPr>
            </w:pPr>
            <w:r w:rsidRPr="006B57FA">
              <w:rPr>
                <w:rFonts w:ascii="Times New Roman" w:eastAsia="Times New Roman" w:hAnsi="Times New Roman" w:cs="Times New Roman"/>
                <w:b/>
                <w:noProof/>
                <w:color w:val="000000"/>
                <w:sz w:val="20"/>
                <w:szCs w:val="24"/>
                <w:lang w:val="en-US"/>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b/>
                <w:noProof/>
                <w:color w:val="000000"/>
                <w:sz w:val="20"/>
                <w:szCs w:val="24"/>
                <w:lang w:val="en-US"/>
              </w:rPr>
              <w:t>Описание</w:t>
            </w:r>
          </w:p>
        </w:tc>
      </w:tr>
      <w:tr w:rsidR="006B57FA" w:rsidRPr="006B57FA"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BG</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България </w:t>
            </w:r>
          </w:p>
        </w:tc>
      </w:tr>
    </w:tbl>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2"/>
      </w:tblGrid>
      <w:tr w:rsidR="006B57FA" w:rsidRPr="006B57FA" w:rsidTr="00053082">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Планински пасища на:</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-Териториите на Националните паркове, с обособени зони за извършване на сезонна паша на селскостопански животни, съобразно годишните планове за паша, издавани от дирекциите на национални паркове Рила, Пирин и/или Централен Балкан.</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 xml:space="preserve">-Териториите на природни паркове, с обособени зони за извършване на регулирана паша на селскостопански животни, съгласно планове за управление; </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 xml:space="preserve">-В зони от мрежата Натура 2000, с утвърдени планове за управление, с обособени зони за извършване на сезонна паша на селскостопански животни; </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От обхвата са изключени териториите на резерватите и поддържаните резервати.</w:t>
            </w:r>
          </w:p>
        </w:tc>
      </w:tr>
    </w:tbl>
    <w:p w:rsidR="006B57FA" w:rsidRPr="006B57FA" w:rsidRDefault="006B57FA" w:rsidP="006B57FA">
      <w:pPr>
        <w:spacing w:before="20" w:after="20" w:line="240" w:lineRule="auto"/>
        <w:outlineLvl w:val="4"/>
        <w:rPr>
          <w:rFonts w:ascii="Times New Roman" w:eastAsia="Times New Roman" w:hAnsi="Times New Roman" w:cs="Times New Roman"/>
          <w:bCs/>
          <w:iCs/>
          <w:color w:val="000000"/>
          <w:sz w:val="24"/>
          <w:szCs w:val="26"/>
          <w:lang w:val="en-US"/>
        </w:rPr>
      </w:pPr>
      <w:bookmarkStart w:id="2" w:name="_Toc256001059"/>
      <w:r w:rsidRPr="006B57FA">
        <w:rPr>
          <w:rFonts w:ascii="Times New Roman" w:eastAsia="Times New Roman" w:hAnsi="Times New Roman" w:cs="Times New Roman"/>
          <w:bCs/>
          <w:iCs/>
          <w:noProof/>
          <w:color w:val="000000"/>
          <w:sz w:val="24"/>
          <w:szCs w:val="26"/>
          <w:lang w:val="en-US"/>
        </w:rPr>
        <w:t>2 Related Specific Objectives, Cross-Cutting Objective and relevant Sectoral Objectives</w:t>
      </w:r>
      <w:bookmarkEnd w:id="2"/>
    </w:p>
    <w:p w:rsidR="006B57FA" w:rsidRPr="006B57FA" w:rsidRDefault="006B57FA" w:rsidP="006B57FA">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2"/>
      </w:tblGrid>
      <w:tr w:rsidR="006B57FA" w:rsidRPr="006B57FA"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b/>
                <w:noProof/>
                <w:color w:val="000000"/>
                <w:sz w:val="20"/>
                <w:szCs w:val="24"/>
                <w:lang w:val="en-US"/>
              </w:rPr>
              <w:t>Код на СПЕЦИФИЧНАТА ЦЕЛ НА ОСП + описание</w:t>
            </w:r>
            <w:r w:rsidRPr="006B57FA">
              <w:rPr>
                <w:rFonts w:ascii="Times New Roman" w:eastAsia="Times New Roman" w:hAnsi="Times New Roman" w:cs="Times New Roman"/>
                <w:noProof/>
                <w:color w:val="000000"/>
                <w:sz w:val="20"/>
                <w:szCs w:val="24"/>
                <w:lang w:val="en-US"/>
              </w:rPr>
              <w:t xml:space="preserve"> Препоръчителните специфични цели на ОСП за този вид интервенция са обозначени с получер шрифт</w:t>
            </w:r>
          </w:p>
        </w:tc>
      </w:tr>
      <w:tr w:rsidR="006B57FA" w:rsidRPr="006B57FA"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SO6 Допринасяне за забавянето и възстановяването на намаляването на биоразнообразието, подобряване на екосистемните услуги и съхраняване на местообитанията и ландшафтите</w:t>
            </w:r>
          </w:p>
        </w:tc>
      </w:tr>
    </w:tbl>
    <w:p w:rsidR="006B57FA" w:rsidRPr="006B57FA" w:rsidRDefault="006B57FA" w:rsidP="006B57FA">
      <w:pPr>
        <w:spacing w:before="20" w:after="20" w:line="240" w:lineRule="auto"/>
        <w:rPr>
          <w:rFonts w:ascii="Times New Roman" w:eastAsia="Times New Roman" w:hAnsi="Times New Roman" w:cs="Times New Roman"/>
          <w:color w:val="000000"/>
          <w:sz w:val="0"/>
          <w:szCs w:val="24"/>
          <w:lang w:val="en-US"/>
        </w:rPr>
      </w:pPr>
    </w:p>
    <w:p w:rsidR="006B57FA" w:rsidRPr="006B57FA" w:rsidRDefault="006B57FA" w:rsidP="006B57FA">
      <w:pPr>
        <w:spacing w:before="20" w:after="20" w:line="240" w:lineRule="auto"/>
        <w:outlineLvl w:val="4"/>
        <w:rPr>
          <w:rFonts w:ascii="Times New Roman" w:eastAsia="Times New Roman" w:hAnsi="Times New Roman" w:cs="Times New Roman"/>
          <w:bCs/>
          <w:iCs/>
          <w:color w:val="000000"/>
          <w:sz w:val="24"/>
          <w:szCs w:val="26"/>
          <w:lang w:val="en-US"/>
        </w:rPr>
      </w:pPr>
      <w:bookmarkStart w:id="3" w:name="_Toc256001060"/>
      <w:r w:rsidRPr="006B57FA">
        <w:rPr>
          <w:rFonts w:ascii="Times New Roman" w:eastAsia="Times New Roman" w:hAnsi="Times New Roman" w:cs="Times New Roman"/>
          <w:bCs/>
          <w:iCs/>
          <w:noProof/>
          <w:color w:val="000000"/>
          <w:sz w:val="24"/>
          <w:szCs w:val="26"/>
          <w:lang w:val="en-US"/>
        </w:rPr>
        <w:t>3 Need(s) addressed by the intervention</w:t>
      </w:r>
      <w:bookmarkEnd w:id="3"/>
    </w:p>
    <w:p w:rsidR="006B57FA" w:rsidRPr="006B57FA" w:rsidRDefault="006B57FA" w:rsidP="006B57FA">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2876"/>
        <w:gridCol w:w="2521"/>
        <w:gridCol w:w="2335"/>
      </w:tblGrid>
      <w:tr w:rsidR="006B57FA" w:rsidRPr="006B57FA"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b/>
                <w:color w:val="000000"/>
                <w:sz w:val="20"/>
                <w:szCs w:val="24"/>
                <w:lang w:val="en-US"/>
              </w:rPr>
            </w:pPr>
            <w:r w:rsidRPr="006B57FA">
              <w:rPr>
                <w:rFonts w:ascii="Times New Roman" w:eastAsia="Times New Roman" w:hAnsi="Times New Roman" w:cs="Times New Roman"/>
                <w:b/>
                <w:noProof/>
                <w:color w:val="000000"/>
                <w:sz w:val="20"/>
                <w:szCs w:val="24"/>
                <w:lang w:val="en-US"/>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b/>
                <w:color w:val="000000"/>
                <w:sz w:val="20"/>
                <w:szCs w:val="24"/>
                <w:lang w:val="en-US"/>
              </w:rPr>
            </w:pPr>
            <w:r w:rsidRPr="006B57FA">
              <w:rPr>
                <w:rFonts w:ascii="Times New Roman" w:eastAsia="Times New Roman" w:hAnsi="Times New Roman" w:cs="Times New Roman"/>
                <w:b/>
                <w:noProof/>
                <w:color w:val="000000"/>
                <w:sz w:val="20"/>
                <w:szCs w:val="24"/>
                <w:lang w:val="en-US"/>
              </w:rPr>
              <w:t>Описание</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b/>
                <w:color w:val="000000"/>
                <w:sz w:val="20"/>
                <w:szCs w:val="24"/>
                <w:lang w:val="en-US"/>
              </w:rPr>
            </w:pPr>
            <w:r w:rsidRPr="006B57FA">
              <w:rPr>
                <w:rFonts w:ascii="Times New Roman" w:eastAsia="Times New Roman" w:hAnsi="Times New Roman" w:cs="Times New Roman"/>
                <w:b/>
                <w:noProof/>
                <w:color w:val="000000"/>
                <w:sz w:val="20"/>
                <w:szCs w:val="24"/>
                <w:lang w:val="en-US"/>
              </w:rPr>
              <w:t>Определяне на приоритети на равнище стратегическия план по ОСП</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b/>
                <w:noProof/>
                <w:color w:val="000000"/>
                <w:sz w:val="20"/>
                <w:szCs w:val="24"/>
                <w:lang w:val="en-US"/>
              </w:rPr>
              <w:t>Разгледана в стратегически план по ОСП</w:t>
            </w:r>
          </w:p>
        </w:tc>
      </w:tr>
      <w:tr w:rsidR="006B57FA" w:rsidRPr="006B57FA"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3324FF">
            <w:pPr>
              <w:spacing w:before="20" w:after="20" w:line="240" w:lineRule="auto"/>
              <w:rPr>
                <w:rFonts w:ascii="Times New Roman" w:eastAsia="Times New Roman" w:hAnsi="Times New Roman" w:cs="Times New Roman"/>
                <w:color w:val="000000"/>
                <w:sz w:val="20"/>
                <w:szCs w:val="24"/>
                <w:lang w:val="en-US"/>
              </w:rPr>
            </w:pPr>
            <w:r w:rsidRPr="004E2AFA">
              <w:rPr>
                <w:rFonts w:ascii="Times New Roman" w:eastAsia="Times New Roman" w:hAnsi="Times New Roman" w:cs="Times New Roman"/>
                <w:noProof/>
                <w:color w:val="FF0000"/>
                <w:sz w:val="20"/>
                <w:szCs w:val="24"/>
                <w:lang w:val="en-US"/>
              </w:rPr>
              <w:t>П.6.</w:t>
            </w:r>
            <w:r w:rsidR="003324FF" w:rsidRPr="004E2AFA">
              <w:rPr>
                <w:rFonts w:ascii="Times New Roman" w:eastAsia="Times New Roman" w:hAnsi="Times New Roman" w:cs="Times New Roman"/>
                <w:noProof/>
                <w:color w:val="FF0000"/>
                <w:sz w:val="20"/>
                <w:szCs w:val="24"/>
                <w:lang w:val="bg-BG"/>
              </w:rPr>
              <w:t>1</w:t>
            </w:r>
            <w:r w:rsidRPr="004E2AFA">
              <w:rPr>
                <w:rFonts w:ascii="Times New Roman" w:eastAsia="Times New Roman" w:hAnsi="Times New Roman" w:cs="Times New Roman"/>
                <w:noProof/>
                <w:color w:val="FF0000"/>
                <w:sz w:val="20"/>
                <w:szCs w:val="24"/>
                <w:lang w:val="en-US"/>
              </w:rPr>
              <w:t>.</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4E2AFA" w:rsidRDefault="003324FF" w:rsidP="006B57FA">
            <w:pPr>
              <w:spacing w:before="20" w:after="20" w:line="240" w:lineRule="auto"/>
              <w:rPr>
                <w:rFonts w:ascii="Times New Roman" w:eastAsia="Times New Roman" w:hAnsi="Times New Roman" w:cs="Times New Roman"/>
                <w:color w:val="FF0000"/>
                <w:sz w:val="20"/>
                <w:szCs w:val="24"/>
                <w:lang w:val="bg-BG"/>
              </w:rPr>
            </w:pPr>
            <w:r w:rsidRPr="004E2AFA">
              <w:rPr>
                <w:rFonts w:ascii="Times New Roman" w:eastAsia="Times New Roman" w:hAnsi="Times New Roman" w:cs="Times New Roman"/>
                <w:noProof/>
                <w:color w:val="FF0000"/>
                <w:sz w:val="20"/>
                <w:szCs w:val="24"/>
                <w:lang w:val="en-US"/>
              </w:rPr>
              <w:t>Опазване и подобряване на природозащитното състояние на естествените местообитания и на дивата флора</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4E2AFA" w:rsidRDefault="003324FF" w:rsidP="006B57FA">
            <w:pPr>
              <w:spacing w:before="20" w:after="20" w:line="240" w:lineRule="auto"/>
              <w:rPr>
                <w:rFonts w:ascii="Times New Roman" w:eastAsia="Times New Roman" w:hAnsi="Times New Roman" w:cs="Times New Roman"/>
                <w:color w:val="FF0000"/>
                <w:sz w:val="20"/>
                <w:szCs w:val="24"/>
                <w:lang w:val="bg-BG"/>
              </w:rPr>
            </w:pPr>
            <w:r w:rsidRPr="004E2AFA">
              <w:rPr>
                <w:rFonts w:ascii="Times New Roman" w:eastAsia="Times New Roman" w:hAnsi="Times New Roman" w:cs="Times New Roman"/>
                <w:noProof/>
                <w:color w:val="FF0000"/>
                <w:sz w:val="20"/>
                <w:szCs w:val="24"/>
                <w:lang w:val="bg-BG"/>
              </w:rPr>
              <w:t xml:space="preserve"> Среден</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Да</w:t>
            </w:r>
          </w:p>
        </w:tc>
      </w:tr>
    </w:tbl>
    <w:p w:rsidR="006B57FA" w:rsidRPr="006B57FA" w:rsidRDefault="006B57FA" w:rsidP="006B57FA">
      <w:pPr>
        <w:spacing w:before="20" w:after="20" w:line="240" w:lineRule="auto"/>
        <w:outlineLvl w:val="4"/>
        <w:rPr>
          <w:rFonts w:ascii="Times New Roman" w:eastAsia="Times New Roman" w:hAnsi="Times New Roman" w:cs="Times New Roman"/>
          <w:bCs/>
          <w:iCs/>
          <w:color w:val="000000"/>
          <w:sz w:val="24"/>
          <w:szCs w:val="26"/>
          <w:lang w:val="en-US"/>
        </w:rPr>
      </w:pPr>
      <w:bookmarkStart w:id="4" w:name="_Toc256001061"/>
      <w:r w:rsidRPr="006B57FA">
        <w:rPr>
          <w:rFonts w:ascii="Times New Roman" w:eastAsia="Times New Roman" w:hAnsi="Times New Roman" w:cs="Times New Roman"/>
          <w:bCs/>
          <w:iCs/>
          <w:noProof/>
          <w:color w:val="000000"/>
          <w:sz w:val="24"/>
          <w:szCs w:val="26"/>
          <w:lang w:val="en-US"/>
        </w:rPr>
        <w:t>4 Result indicator(s)</w:t>
      </w:r>
      <w:bookmarkEnd w:id="4"/>
    </w:p>
    <w:p w:rsidR="006B57FA" w:rsidRPr="006B57FA" w:rsidRDefault="006B57FA" w:rsidP="006B57FA">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2"/>
      </w:tblGrid>
      <w:tr w:rsidR="006B57FA" w:rsidRPr="006B57FA"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b/>
                <w:noProof/>
                <w:color w:val="000000"/>
                <w:sz w:val="20"/>
                <w:szCs w:val="24"/>
                <w:lang w:val="en-US"/>
              </w:rPr>
              <w:t>Код на ПОКАЗАТЕЛИТЕ ЗА РЕЗУЛТАТИТЕ + описание</w:t>
            </w:r>
            <w:r w:rsidRPr="006B57FA">
              <w:rPr>
                <w:rFonts w:ascii="Times New Roman" w:eastAsia="Times New Roman" w:hAnsi="Times New Roman" w:cs="Times New Roman"/>
                <w:noProof/>
                <w:color w:val="000000"/>
                <w:sz w:val="20"/>
                <w:szCs w:val="24"/>
                <w:lang w:val="en-US"/>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6B57FA" w:rsidRPr="006B57FA"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R.31 Share of utilised agricultural area (UAA) under supported commitments for supporting biodiversity conservation or restoration including high-nature-value farming practices</w:t>
            </w:r>
          </w:p>
        </w:tc>
      </w:tr>
      <w:tr w:rsidR="00603C3A" w:rsidRPr="006B57FA"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03C3A" w:rsidRPr="006B57FA" w:rsidRDefault="00603C3A" w:rsidP="006B57FA">
            <w:pPr>
              <w:spacing w:before="20" w:after="20" w:line="240" w:lineRule="auto"/>
              <w:rPr>
                <w:rFonts w:ascii="Times New Roman" w:eastAsia="Times New Roman" w:hAnsi="Times New Roman" w:cs="Times New Roman"/>
                <w:noProof/>
                <w:color w:val="000000"/>
                <w:sz w:val="20"/>
                <w:szCs w:val="24"/>
                <w:lang w:val="en-US"/>
              </w:rPr>
            </w:pPr>
            <w:r w:rsidRPr="00603C3A">
              <w:rPr>
                <w:rFonts w:ascii="Times New Roman" w:eastAsia="Times New Roman" w:hAnsi="Times New Roman" w:cs="Times New Roman"/>
                <w:noProof/>
                <w:color w:val="FF0000"/>
                <w:sz w:val="20"/>
                <w:szCs w:val="24"/>
                <w:lang w:val="en-US"/>
              </w:rPr>
              <w:t>R.33 Improving Natura 2000 management</w:t>
            </w:r>
          </w:p>
        </w:tc>
      </w:tr>
    </w:tbl>
    <w:p w:rsidR="006B57FA" w:rsidRPr="006B57FA" w:rsidRDefault="006B57FA" w:rsidP="006B57FA">
      <w:pPr>
        <w:spacing w:before="20" w:after="20" w:line="240" w:lineRule="auto"/>
        <w:outlineLvl w:val="4"/>
        <w:rPr>
          <w:rFonts w:ascii="Times New Roman" w:eastAsia="Times New Roman" w:hAnsi="Times New Roman" w:cs="Times New Roman"/>
          <w:bCs/>
          <w:iCs/>
          <w:color w:val="000000"/>
          <w:sz w:val="24"/>
          <w:szCs w:val="26"/>
          <w:lang w:val="en-US"/>
        </w:rPr>
      </w:pPr>
      <w:bookmarkStart w:id="5" w:name="_Toc256001062"/>
      <w:r w:rsidRPr="006B57FA">
        <w:rPr>
          <w:rFonts w:ascii="Times New Roman" w:eastAsia="Times New Roman" w:hAnsi="Times New Roman" w:cs="Times New Roman"/>
          <w:bCs/>
          <w:iCs/>
          <w:noProof/>
          <w:color w:val="000000"/>
          <w:sz w:val="24"/>
          <w:szCs w:val="26"/>
          <w:lang w:val="en-US"/>
        </w:rPr>
        <w:t>5 Specific design, requirements and eligibility conditions of the intervention</w:t>
      </w:r>
      <w:bookmarkEnd w:id="5"/>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lastRenderedPageBreak/>
        <w:t>Describe what are the specific objectives and content of the intervention including specific targeting, principles of selection, links with relevant legislation, complementarity with other interventions/sets of operations in both pillars and other relevant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2"/>
      </w:tblGrid>
      <w:tr w:rsidR="006B57FA" w:rsidRPr="006B57FA" w:rsidTr="00053082">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Подпомагането на дейности по сезонна паша ще допринесе за съхраняване на тревните екосистеми и свързаните с тях ценни местообитания и видове в защитените територии и зони. Дейностите по мярката са съобразени с утвърдените планове за управление в конкретните защитени територии и зони от мрежата Натура 2000.</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Не са допустими за подпомагане площи, попадащи в територията на резервати и поддържани резервати;</w:t>
            </w:r>
          </w:p>
        </w:tc>
      </w:tr>
    </w:tbl>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Define eligible beneficiaries and specific eligibility criteria where relevant related to the beneficiary and 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2"/>
      </w:tblGrid>
      <w:tr w:rsidR="006B57FA" w:rsidRPr="006B57FA" w:rsidTr="00053082">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Земеделски стопани, които отговарят на изискванията за „активни земеделски стопани“ и са регистрирани в ИСАК.</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Земеделските стопани, кандидатстващи за подпомагане трябва да притежават тревопасни животни от видовете, с които е разрешено от компетентните органи извършването на паша върху териториите.</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Земеделски стопани, които извършват паша на площ от минимум 5 ха.</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Земеделският стопанин, кандидатстващи за подпомагане трябва да притежава най-малко или 50 овце, или 10 говеда, или комбинация от разрешените видове животни, но не по-малко от 10 ЖЕ. Земеделският стопанин, кандидатстващи за подпомагане по направлението трябва да притежава не по-малко от 10 ЖЕ от видовете животни, с които е разрешено извършването на паша;</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Извежданите на паша животни от видовете включени в плановете за управление и годишните планове за паша са идентифицирани в информационната системата по чл. 30, ал. 2, т. 3 от ЗПЗП.</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 xml:space="preserve">Ангажиментите </w:t>
            </w:r>
            <w:r w:rsidR="003324FF" w:rsidRPr="00337EA2">
              <w:rPr>
                <w:rFonts w:ascii="Times New Roman" w:eastAsia="Times New Roman" w:hAnsi="Times New Roman" w:cs="Times New Roman"/>
                <w:noProof/>
                <w:color w:val="FF0000"/>
                <w:sz w:val="24"/>
                <w:szCs w:val="24"/>
                <w:lang w:val="bg-BG"/>
              </w:rPr>
              <w:t xml:space="preserve">са </w:t>
            </w:r>
            <w:r w:rsidRPr="006B57FA">
              <w:rPr>
                <w:rFonts w:ascii="Times New Roman" w:eastAsia="Times New Roman" w:hAnsi="Times New Roman" w:cs="Times New Roman"/>
                <w:noProof/>
                <w:sz w:val="24"/>
                <w:szCs w:val="24"/>
                <w:lang w:val="en-US"/>
              </w:rPr>
              <w:t xml:space="preserve">за срок 5 години, като по преценка и предписание на Дирекциите на националните и природните паркове, и органите по управление на защитените зони, пашата върху даден парцел може да бъде преустановена. </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Земеделският стопанин или гледача на животните (пастир) трябва да извежда животните на определените пасища, най-малко 3 месеца от годината в периода май – октомври (90 дни). Изключения от тези срокове се допускат при изрични разпоредби/разрешение на Дирекциите на националните и природни паркове, или органите по управление на Натура зоните.</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Подпомагането се изплаща само, при спазване на нормите на натоварване на пасищата, одобрени от дирекциите на Националните и природни паркове, и в плановете за управление. Ангажиментът не се поема за едни и същи фиксирани земеделски парцели и един и същ размер на площта – те могат да варират в зависимост от състоянието на пасищата и целесъобразността на пашата;</w:t>
            </w:r>
          </w:p>
        </w:tc>
      </w:tr>
    </w:tbl>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Define eligible type of support (non-IACS) or commitments (IACS) and other obligations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2"/>
      </w:tblGrid>
      <w:tr w:rsidR="006B57FA" w:rsidRPr="006B57FA" w:rsidTr="00053082">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 xml:space="preserve">Земеделските стопани или пастира трябва да преминат обучение или да докажат опит за прилагането на поетите от тях ангажименти в предходен програмен период. </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Бенефициентите по дейността поемат ангажимент да водят дневник (регистър) на стопанството за всички земеделски дейности, извършвани в земеделските земи, предмет на поетите задължения.</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 xml:space="preserve">Когато дейността се изпълнява с придружаващи стадото кучета за опазване на животните от нападения на хищници, те не трябва да застрашават хора, На всяко куче трябва да е поставена „спъвачка“, както и допълнителни обезопасителни средства при </w:t>
            </w:r>
            <w:r w:rsidRPr="006B57FA">
              <w:rPr>
                <w:rFonts w:ascii="Times New Roman" w:eastAsia="Times New Roman" w:hAnsi="Times New Roman" w:cs="Times New Roman"/>
                <w:noProof/>
                <w:sz w:val="24"/>
                <w:szCs w:val="24"/>
                <w:lang w:val="en-US"/>
              </w:rPr>
              <w:lastRenderedPageBreak/>
              <w:t>необходимост.</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Земеделските стопани, които притежават не по-малко от две кучета от каракачанската порода и/или кучета от порода „Българско овчарско куче“ за опазване на животните от нападение на хищници, могат да получат допълнително агроекологично плащане. За получаване на допълнителното агроекологично плащане за паша с каракачански кучета и/или кучетата от порода „Българско овчарско куче“ земеделските стопани са длъжни да представят за всяко куче „Родословен сертификат“ за произход, издаден от Международната асоциация на каракачанските кучета или друга развъдна организация, получила разрешение за дейност по реда на Закона за животновъдството.</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На едно животно (от заявените) от всеки до 50 броя се поставя устройство позволяващо проследяване на движението му. Данните се ползват при извършване на проверките за спазване на изискванията по управление на дейността. Устройствата за проследяване следва да отговарят на минималните изисквания и да са съвместими с системата изработена от МЗм. При изгубване и/или унищожаване на устройствата за проследяване, земеделският стопанин следва да уведоми ДФЗ и компетентния орган по предоставяне на устройството, както и да възстанови или замени в определения срок по условията за кандидатстване.</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При наличие на съмнения за несъответствие с целите и изискванията на мярката и приложимото законодателство се изпраща информация на всяка една компетентна структура с цел извършване на допълнителни проверки.</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 xml:space="preserve">Министерство на земеделието, периодично предоставя данни от извършваните дистанционни проверки на дирекциите на Националните паркове за наличието на преизпасвани площи, ако има регистрирани такива, в предоставените за ползване пасища на земеделските стопани, като на тези площи може да бъде въведена забрана или преустановяване на пашата, в т.ч. на целият парцел за определен период; </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При констатирано първо несъответствие за паша при забранени територии, преизпасани територии, паша на непозволени животни земеделският стопанин се предупреждава писмено (включително и по ел. поща). При всяко следващо ДФЗ – РА налага допълнителни санкции съобразно разписаните процедури и приложимо законодателство.</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При констатирани съмнения за несъответствия на броя животни изведени на паша, Дирекциите на националните и придорните паркове и ДФЗ – РА писмено информират БАБХ в качеството му на орган по официален контрол.</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В случай, че е констатирано нерегламентирано извеждане на животни, за които няма издадено разрешително за паша не се изплаща подпомагане за дейността, като фермера може да търпи санкции съобразно приложимото законодателство.</w:t>
            </w:r>
          </w:p>
        </w:tc>
      </w:tr>
    </w:tbl>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lastRenderedPageBreak/>
        <w:t>O14 What area is eligible?</w:t>
      </w:r>
    </w:p>
    <w:p w:rsidR="006B57FA" w:rsidRPr="006B57FA" w:rsidRDefault="00603C3A" w:rsidP="006B57FA">
      <w:pPr>
        <w:spacing w:before="20" w:after="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fldChar w:fldCharType="begin">
          <w:ffData>
            <w:name w:val="AreaCheckbox1"/>
            <w:enabled/>
            <w:calcOnExit w:val="0"/>
            <w:checkBox>
              <w:size w:val="20"/>
              <w:default w:val="0"/>
            </w:checkBox>
          </w:ffData>
        </w:fldChar>
      </w:r>
      <w:bookmarkStart w:id="6" w:name="AreaCheckbox1"/>
      <w:r>
        <w:rPr>
          <w:rFonts w:ascii="Times New Roman" w:eastAsia="Times New Roman" w:hAnsi="Times New Roman" w:cs="Times New Roman"/>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Pr>
          <w:rFonts w:ascii="Times New Roman" w:eastAsia="Times New Roman" w:hAnsi="Times New Roman" w:cs="Times New Roman"/>
          <w:color w:val="000000"/>
          <w:sz w:val="24"/>
          <w:szCs w:val="24"/>
          <w:lang w:val="en-US"/>
        </w:rPr>
        <w:fldChar w:fldCharType="end"/>
      </w:r>
      <w:bookmarkEnd w:id="6"/>
      <w:r w:rsidR="006B57FA" w:rsidRPr="006B57FA">
        <w:rPr>
          <w:rFonts w:ascii="Times New Roman" w:eastAsia="Times New Roman" w:hAnsi="Times New Roman" w:cs="Times New Roman"/>
          <w:noProof/>
          <w:color w:val="000000"/>
          <w:sz w:val="24"/>
          <w:szCs w:val="24"/>
          <w:lang w:val="en-US"/>
        </w:rPr>
        <w:t>Agricultural area defined for the CAP plan</w:t>
      </w:r>
    </w:p>
    <w:p w:rsidR="006B57FA" w:rsidRPr="006B57FA" w:rsidRDefault="00603C3A" w:rsidP="006B57FA">
      <w:pPr>
        <w:spacing w:before="20" w:after="2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fldChar w:fldCharType="begin">
          <w:ffData>
            <w:name w:val="AreaCheckbox2"/>
            <w:enabled/>
            <w:calcOnExit w:val="0"/>
            <w:checkBox>
              <w:size w:val="20"/>
              <w:default w:val="1"/>
            </w:checkBox>
          </w:ffData>
        </w:fldChar>
      </w:r>
      <w:bookmarkStart w:id="7" w:name="AreaCheckbox2"/>
      <w:r>
        <w:rPr>
          <w:rFonts w:ascii="Times New Roman" w:eastAsia="Times New Roman" w:hAnsi="Times New Roman" w:cs="Times New Roman"/>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Pr>
          <w:rFonts w:ascii="Times New Roman" w:eastAsia="Times New Roman" w:hAnsi="Times New Roman" w:cs="Times New Roman"/>
          <w:color w:val="000000"/>
          <w:sz w:val="24"/>
          <w:szCs w:val="24"/>
          <w:lang w:val="en-US"/>
        </w:rPr>
        <w:fldChar w:fldCharType="end"/>
      </w:r>
      <w:bookmarkEnd w:id="7"/>
      <w:r w:rsidR="006B57FA" w:rsidRPr="006B57FA">
        <w:rPr>
          <w:rFonts w:ascii="Times New Roman" w:eastAsia="Times New Roman" w:hAnsi="Times New Roman" w:cs="Times New Roman"/>
          <w:noProof/>
          <w:color w:val="000000"/>
          <w:sz w:val="24"/>
          <w:szCs w:val="24"/>
          <w:lang w:val="en-US"/>
        </w:rPr>
        <w:t>Agricultural land including and beyond agricultural area</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color w:val="000000"/>
          <w:sz w:val="24"/>
          <w:szCs w:val="24"/>
          <w:lang w:val="en-US"/>
        </w:rPr>
        <w:fldChar w:fldCharType="begin">
          <w:ffData>
            <w:name w:val="AreaCheckbox3"/>
            <w:enabled/>
            <w:calcOnExit w:val="0"/>
            <w:checkBox>
              <w:size w:val="20"/>
              <w:default w:val="0"/>
              <w:checked w:val="0"/>
            </w:checkBox>
          </w:ffData>
        </w:fldChar>
      </w:r>
      <w:r w:rsidRPr="006B57FA">
        <w:rPr>
          <w:rFonts w:ascii="Times New Roman" w:eastAsia="Times New Roman" w:hAnsi="Times New Roman" w:cs="Times New Roman"/>
          <w:noProof/>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sidRPr="006B57FA">
        <w:rPr>
          <w:rFonts w:ascii="Times New Roman" w:eastAsia="Times New Roman" w:hAnsi="Times New Roman" w:cs="Times New Roman"/>
          <w:color w:val="000000"/>
          <w:sz w:val="24"/>
          <w:szCs w:val="24"/>
          <w:lang w:val="en-US"/>
        </w:rPr>
        <w:fldChar w:fldCharType="end"/>
      </w:r>
      <w:r w:rsidRPr="006B57FA">
        <w:rPr>
          <w:rFonts w:ascii="Times New Roman" w:eastAsia="Times New Roman" w:hAnsi="Times New Roman" w:cs="Times New Roman"/>
          <w:noProof/>
          <w:color w:val="000000"/>
          <w:sz w:val="24"/>
          <w:szCs w:val="24"/>
          <w:lang w:val="en-US"/>
        </w:rPr>
        <w:t>Non-agricultural land</w:t>
      </w:r>
    </w:p>
    <w:p w:rsidR="006B57FA" w:rsidRPr="006B57FA" w:rsidRDefault="006B57FA" w:rsidP="006B57FA">
      <w:pPr>
        <w:spacing w:before="20" w:after="20" w:line="240" w:lineRule="auto"/>
        <w:rPr>
          <w:rFonts w:ascii="Times New Roman" w:eastAsia="Times New Roman" w:hAnsi="Times New Roman" w:cs="Times New Roman"/>
          <w:color w:val="000000"/>
          <w:sz w:val="0"/>
          <w:szCs w:val="24"/>
          <w:lang w:val="en-US"/>
        </w:rPr>
      </w:pPr>
    </w:p>
    <w:p w:rsidR="006B57FA" w:rsidRPr="006B57FA" w:rsidRDefault="006B57FA" w:rsidP="006B57FA">
      <w:pPr>
        <w:spacing w:before="20" w:after="20" w:line="240" w:lineRule="auto"/>
        <w:outlineLvl w:val="4"/>
        <w:rPr>
          <w:rFonts w:ascii="Times New Roman" w:eastAsia="Times New Roman" w:hAnsi="Times New Roman" w:cs="Times New Roman"/>
          <w:bCs/>
          <w:iCs/>
          <w:color w:val="000000"/>
          <w:sz w:val="24"/>
          <w:szCs w:val="26"/>
          <w:lang w:val="en-US"/>
        </w:rPr>
      </w:pPr>
      <w:bookmarkStart w:id="8" w:name="_Toc256001063"/>
      <w:r w:rsidRPr="006B57FA">
        <w:rPr>
          <w:rFonts w:ascii="Times New Roman" w:eastAsia="Times New Roman" w:hAnsi="Times New Roman" w:cs="Times New Roman"/>
          <w:bCs/>
          <w:iCs/>
          <w:noProof/>
          <w:color w:val="000000"/>
          <w:sz w:val="24"/>
          <w:szCs w:val="26"/>
          <w:lang w:val="en-US"/>
        </w:rPr>
        <w:t>6 Identification of relevant baseline elements</w:t>
      </w:r>
      <w:bookmarkEnd w:id="8"/>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List of relevant GAEC and SMR</w:t>
      </w:r>
    </w:p>
    <w:p w:rsidR="006B57FA" w:rsidRPr="006B57FA" w:rsidRDefault="006B57FA" w:rsidP="006B57FA">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7"/>
        <w:gridCol w:w="5825"/>
      </w:tblGrid>
      <w:tr w:rsidR="006B57FA" w:rsidRPr="006B57FA"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b/>
                <w:color w:val="000000"/>
                <w:sz w:val="20"/>
                <w:szCs w:val="24"/>
                <w:lang w:val="en-US"/>
              </w:rPr>
            </w:pPr>
            <w:r w:rsidRPr="006B57FA">
              <w:rPr>
                <w:rFonts w:ascii="Times New Roman" w:eastAsia="Times New Roman" w:hAnsi="Times New Roman" w:cs="Times New Roman"/>
                <w:b/>
                <w:noProof/>
                <w:color w:val="000000"/>
                <w:sz w:val="20"/>
                <w:szCs w:val="24"/>
                <w:lang w:val="en-US"/>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b/>
                <w:noProof/>
                <w:color w:val="000000"/>
                <w:sz w:val="20"/>
                <w:szCs w:val="24"/>
                <w:lang w:val="en-US"/>
              </w:rPr>
              <w:t>Описание</w:t>
            </w:r>
          </w:p>
        </w:tc>
      </w:tr>
      <w:tr w:rsidR="006B57FA" w:rsidRPr="006B57FA"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lastRenderedPageBreak/>
              <w:t>GAEC09</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Ban on converting or ploughing permanent grassland designated as environmentally-sensitive permanent grasslands in Natural 2000 sites</w:t>
            </w:r>
          </w:p>
        </w:tc>
      </w:tr>
      <w:tr w:rsidR="006B57FA" w:rsidRPr="006B57FA"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SMR03</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Directive 2009/147/EC of the European Parliament and of the Council of 30 November 2009 on the conservation of wild birds: Article 3(1), Article 3(2), point (b), Article 4(1), (2) and (4)</w:t>
            </w:r>
          </w:p>
        </w:tc>
      </w:tr>
      <w:tr w:rsidR="006B57FA" w:rsidRPr="006B57FA"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SMR04</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6B57FA">
            <w:pPr>
              <w:spacing w:before="20" w:after="20" w:line="240" w:lineRule="auto"/>
              <w:rPr>
                <w:rFonts w:ascii="Times New Roman" w:eastAsia="Times New Roman" w:hAnsi="Times New Roman" w:cs="Times New Roman"/>
                <w:color w:val="000000"/>
                <w:sz w:val="20"/>
                <w:szCs w:val="24"/>
                <w:lang w:val="en-US"/>
              </w:rPr>
            </w:pPr>
            <w:r w:rsidRPr="006B57FA">
              <w:rPr>
                <w:rFonts w:ascii="Times New Roman" w:eastAsia="Times New Roman" w:hAnsi="Times New Roman" w:cs="Times New Roman"/>
                <w:noProof/>
                <w:color w:val="000000"/>
                <w:sz w:val="20"/>
                <w:szCs w:val="24"/>
                <w:lang w:val="en-US"/>
              </w:rPr>
              <w:t>Council Directive 92/43/EEC of 21 May 1992 on the conservation of natural habitats and of wild flora and fauna: Article 6(1) and (2)</w:t>
            </w:r>
          </w:p>
        </w:tc>
      </w:tr>
    </w:tbl>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2"/>
      </w:tblGrid>
      <w:tr w:rsidR="006B57FA" w:rsidRPr="006B57FA"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Забрани и ограничения, включени в 17 и чл. 21, т. 4, 6, 9, 12, 13 и 14 от Закона за защитените територии: В националните паркове се забраняват: използване на изкуствени торове и други химически средства; паша на кози, както и пашата в горите извън ливадите и пасищата; замърсяване на водите и терените с битови, промишлени и други отпадъци; бивакуване и палене на огън извън определените места, нарушаване на естественото състояние на водни площи, водни течения, техните брегове и прилежащи територии, освен в случаи на опасност от наводнения, които могат да доведат до риск за живота и здравето на хората или настъпване на материални щети; намеса в биологичното разнообразие.</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В резерватите се забраняват извършването на всякакви дейности, с изключение на посочените в чл. 17 от Закона за защитените територии.</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Изисквания по Закона за ветеринарномедицинската дейност:</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Чл. 132, ал. 1, т. 3а от ЗВМД - При придвижване/транспортиране животните трябва да бъдат придружени от ветеринарномедицинско свидетелство за придвижване/транспортиране;</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Чл. 139, ал.1, т. 3а. пускането на животни извън животновъдния обект без придружител (собственик или гледач), освен когато животните се намират в оградени пасища.</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Земеделските стопани спазват въведените специфични режими на защитената територия.</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Базови задължения в природните паркове са определение в чл. 31 и 32 от ЗЗТ.</w:t>
            </w:r>
          </w:p>
        </w:tc>
      </w:tr>
    </w:tbl>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Link between GAEC, SMR and national standards with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2"/>
      </w:tblGrid>
      <w:tr w:rsidR="006B57FA" w:rsidRPr="006B57FA"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Извежданите на паша животни от видовете включени в плановете за управление и годишните планове за паша са идентифицирани в информационната системата по чл. 30, ал. 2, т. 3 от ЗПЗП.</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Подпомагането се изплаща само, при спазване на нормите на натоварване на пасищата, одобрени от дирекциите на Националните и природни паркове, и в плановете за управление.</w:t>
            </w:r>
          </w:p>
        </w:tc>
      </w:tr>
    </w:tbl>
    <w:p w:rsidR="006B57FA" w:rsidRPr="006B57FA" w:rsidRDefault="006B57FA" w:rsidP="006B57FA">
      <w:pPr>
        <w:spacing w:before="20" w:after="20" w:line="240" w:lineRule="auto"/>
        <w:outlineLvl w:val="4"/>
        <w:rPr>
          <w:rFonts w:ascii="Times New Roman" w:eastAsia="Times New Roman" w:hAnsi="Times New Roman" w:cs="Times New Roman"/>
          <w:bCs/>
          <w:iCs/>
          <w:color w:val="000000"/>
          <w:sz w:val="24"/>
          <w:szCs w:val="26"/>
          <w:lang w:val="en-US"/>
        </w:rPr>
      </w:pPr>
      <w:bookmarkStart w:id="9" w:name="_Toc256001064"/>
      <w:r w:rsidRPr="006B57FA">
        <w:rPr>
          <w:rFonts w:ascii="Times New Roman" w:eastAsia="Times New Roman" w:hAnsi="Times New Roman" w:cs="Times New Roman"/>
          <w:bCs/>
          <w:iCs/>
          <w:noProof/>
          <w:color w:val="000000"/>
          <w:sz w:val="24"/>
          <w:szCs w:val="26"/>
          <w:lang w:val="en-US"/>
        </w:rPr>
        <w:t>7 Form and rate of support/amounts/calculation methods</w:t>
      </w:r>
      <w:bookmarkEnd w:id="9"/>
    </w:p>
    <w:p w:rsidR="006B57FA" w:rsidRPr="006B57FA" w:rsidRDefault="006B57FA" w:rsidP="006B57FA">
      <w:pPr>
        <w:spacing w:before="20" w:after="20" w:line="240" w:lineRule="auto"/>
        <w:rPr>
          <w:rFonts w:ascii="Times New Roman" w:eastAsia="Times New Roman" w:hAnsi="Times New Roman" w:cs="Times New Roman"/>
          <w:b/>
          <w:color w:val="000000"/>
          <w:sz w:val="24"/>
          <w:szCs w:val="24"/>
          <w:lang w:val="en-US"/>
        </w:rPr>
      </w:pPr>
      <w:r w:rsidRPr="006B57FA">
        <w:rPr>
          <w:rFonts w:ascii="Times New Roman" w:eastAsia="Times New Roman" w:hAnsi="Times New Roman" w:cs="Times New Roman"/>
          <w:b/>
          <w:color w:val="000000"/>
          <w:sz w:val="24"/>
          <w:szCs w:val="24"/>
          <w:lang w:val="en-US"/>
        </w:rPr>
        <w:fldChar w:fldCharType="begin">
          <w:ffData>
            <w:name w:val="cbIacs"/>
            <w:enabled/>
            <w:calcOnExit w:val="0"/>
            <w:checkBox>
              <w:size w:val="24"/>
              <w:default w:val="1"/>
              <w:checked/>
            </w:checkBox>
          </w:ffData>
        </w:fldChar>
      </w:r>
      <w:r w:rsidRPr="006B57FA">
        <w:rPr>
          <w:rFonts w:ascii="Times New Roman" w:eastAsia="Times New Roman" w:hAnsi="Times New Roman" w:cs="Times New Roman"/>
          <w:b/>
          <w:noProof/>
          <w:color w:val="000000"/>
          <w:sz w:val="24"/>
          <w:szCs w:val="24"/>
          <w:lang w:val="en-US"/>
        </w:rPr>
        <w:instrText xml:space="preserve"> FORMCHECKBOX </w:instrText>
      </w:r>
      <w:r w:rsidR="003E2223">
        <w:rPr>
          <w:rFonts w:ascii="Times New Roman" w:eastAsia="Times New Roman" w:hAnsi="Times New Roman" w:cs="Times New Roman"/>
          <w:b/>
          <w:color w:val="000000"/>
          <w:sz w:val="24"/>
          <w:szCs w:val="24"/>
          <w:lang w:val="en-US"/>
        </w:rPr>
      </w:r>
      <w:r w:rsidR="003E2223">
        <w:rPr>
          <w:rFonts w:ascii="Times New Roman" w:eastAsia="Times New Roman" w:hAnsi="Times New Roman" w:cs="Times New Roman"/>
          <w:b/>
          <w:color w:val="000000"/>
          <w:sz w:val="24"/>
          <w:szCs w:val="24"/>
          <w:lang w:val="en-US"/>
        </w:rPr>
        <w:fldChar w:fldCharType="separate"/>
      </w:r>
      <w:r w:rsidRPr="006B57FA">
        <w:rPr>
          <w:rFonts w:ascii="Times New Roman" w:eastAsia="Times New Roman" w:hAnsi="Times New Roman" w:cs="Times New Roman"/>
          <w:b/>
          <w:color w:val="000000"/>
          <w:sz w:val="24"/>
          <w:szCs w:val="24"/>
          <w:lang w:val="en-US"/>
        </w:rPr>
        <w:fldChar w:fldCharType="end"/>
      </w:r>
      <w:r w:rsidRPr="006B57FA">
        <w:rPr>
          <w:rFonts w:ascii="Times New Roman" w:eastAsia="Times New Roman" w:hAnsi="Times New Roman" w:cs="Times New Roman"/>
          <w:b/>
          <w:noProof/>
          <w:color w:val="000000"/>
          <w:sz w:val="24"/>
          <w:szCs w:val="24"/>
          <w:lang w:val="en-US"/>
        </w:rPr>
        <w:t xml:space="preserve"> IACS</w:t>
      </w:r>
    </w:p>
    <w:p w:rsidR="006B57FA" w:rsidRPr="006B57FA" w:rsidRDefault="006B57FA" w:rsidP="006B57FA">
      <w:pPr>
        <w:spacing w:before="20" w:after="20" w:line="240" w:lineRule="auto"/>
        <w:rPr>
          <w:rFonts w:ascii="Times New Roman" w:eastAsia="Times New Roman" w:hAnsi="Times New Roman" w:cs="Times New Roman"/>
          <w:b/>
          <w:color w:val="000000"/>
          <w:sz w:val="24"/>
          <w:szCs w:val="24"/>
          <w:lang w:val="en-US"/>
        </w:rPr>
      </w:pPr>
      <w:r w:rsidRPr="006B57FA">
        <w:rPr>
          <w:rFonts w:ascii="Times New Roman" w:eastAsia="Times New Roman" w:hAnsi="Times New Roman" w:cs="Times New Roman"/>
          <w:b/>
          <w:color w:val="000000"/>
          <w:sz w:val="24"/>
          <w:szCs w:val="24"/>
          <w:lang w:val="en-US"/>
        </w:rPr>
        <w:fldChar w:fldCharType="begin">
          <w:ffData>
            <w:name w:val="cbNonIacs"/>
            <w:enabled/>
            <w:calcOnExit w:val="0"/>
            <w:checkBox>
              <w:size w:val="24"/>
              <w:default w:val="0"/>
              <w:checked w:val="0"/>
            </w:checkBox>
          </w:ffData>
        </w:fldChar>
      </w:r>
      <w:r w:rsidRPr="006B57FA">
        <w:rPr>
          <w:rFonts w:ascii="Times New Roman" w:eastAsia="Times New Roman" w:hAnsi="Times New Roman" w:cs="Times New Roman"/>
          <w:b/>
          <w:noProof/>
          <w:color w:val="000000"/>
          <w:sz w:val="24"/>
          <w:szCs w:val="24"/>
          <w:lang w:val="en-US"/>
        </w:rPr>
        <w:instrText xml:space="preserve"> FORMCHECKBOX </w:instrText>
      </w:r>
      <w:r w:rsidR="003E2223">
        <w:rPr>
          <w:rFonts w:ascii="Times New Roman" w:eastAsia="Times New Roman" w:hAnsi="Times New Roman" w:cs="Times New Roman"/>
          <w:b/>
          <w:color w:val="000000"/>
          <w:sz w:val="24"/>
          <w:szCs w:val="24"/>
          <w:lang w:val="en-US"/>
        </w:rPr>
      </w:r>
      <w:r w:rsidR="003E2223">
        <w:rPr>
          <w:rFonts w:ascii="Times New Roman" w:eastAsia="Times New Roman" w:hAnsi="Times New Roman" w:cs="Times New Roman"/>
          <w:b/>
          <w:color w:val="000000"/>
          <w:sz w:val="24"/>
          <w:szCs w:val="24"/>
          <w:lang w:val="en-US"/>
        </w:rPr>
        <w:fldChar w:fldCharType="separate"/>
      </w:r>
      <w:r w:rsidRPr="006B57FA">
        <w:rPr>
          <w:rFonts w:ascii="Times New Roman" w:eastAsia="Times New Roman" w:hAnsi="Times New Roman" w:cs="Times New Roman"/>
          <w:b/>
          <w:color w:val="000000"/>
          <w:sz w:val="24"/>
          <w:szCs w:val="24"/>
          <w:lang w:val="en-US"/>
        </w:rPr>
        <w:fldChar w:fldCharType="end"/>
      </w:r>
      <w:r w:rsidRPr="006B57FA">
        <w:rPr>
          <w:rFonts w:ascii="Times New Roman" w:eastAsia="Times New Roman" w:hAnsi="Times New Roman" w:cs="Times New Roman"/>
          <w:b/>
          <w:noProof/>
          <w:color w:val="000000"/>
          <w:sz w:val="24"/>
          <w:szCs w:val="24"/>
          <w:lang w:val="en-US"/>
        </w:rPr>
        <w:t xml:space="preserve"> Non-IACS</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p>
    <w:p w:rsidR="006B57FA" w:rsidRPr="006B57FA" w:rsidRDefault="006B57FA" w:rsidP="006B57FA">
      <w:pPr>
        <w:spacing w:before="20" w:after="20" w:line="240" w:lineRule="auto"/>
        <w:rPr>
          <w:rFonts w:ascii="Times New Roman" w:eastAsia="Times New Roman" w:hAnsi="Times New Roman" w:cs="Times New Roman"/>
          <w:color w:val="000000"/>
          <w:sz w:val="28"/>
          <w:szCs w:val="24"/>
          <w:lang w:val="en-US"/>
        </w:rPr>
      </w:pPr>
      <w:r w:rsidRPr="006B57FA">
        <w:rPr>
          <w:rFonts w:ascii="Times New Roman" w:eastAsia="Times New Roman" w:hAnsi="Times New Roman" w:cs="Times New Roman"/>
          <w:noProof/>
          <w:color w:val="000000"/>
          <w:sz w:val="28"/>
          <w:szCs w:val="24"/>
          <w:lang w:val="en-US"/>
        </w:rPr>
        <w:t>IACS section</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Type of payment</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color w:val="000000"/>
          <w:sz w:val="24"/>
          <w:szCs w:val="24"/>
          <w:lang w:val="en-US"/>
        </w:rPr>
        <w:fldChar w:fldCharType="begin">
          <w:ffData>
            <w:name w:val="cb_TOPIACSA"/>
            <w:enabled/>
            <w:calcOnExit w:val="0"/>
            <w:checkBox>
              <w:size w:val="24"/>
              <w:default w:val="1"/>
              <w:checked/>
            </w:checkBox>
          </w:ffData>
        </w:fldChar>
      </w:r>
      <w:r w:rsidRPr="006B57FA">
        <w:rPr>
          <w:rFonts w:ascii="Times New Roman" w:eastAsia="Times New Roman" w:hAnsi="Times New Roman" w:cs="Times New Roman"/>
          <w:noProof/>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sidRPr="006B57FA">
        <w:rPr>
          <w:rFonts w:ascii="Times New Roman" w:eastAsia="Times New Roman" w:hAnsi="Times New Roman" w:cs="Times New Roman"/>
          <w:color w:val="000000"/>
          <w:sz w:val="24"/>
          <w:szCs w:val="24"/>
          <w:lang w:val="en-US"/>
        </w:rPr>
        <w:fldChar w:fldCharType="end"/>
      </w:r>
      <w:r w:rsidRPr="006B57FA">
        <w:rPr>
          <w:rFonts w:ascii="Times New Roman" w:eastAsia="Times New Roman" w:hAnsi="Times New Roman" w:cs="Times New Roman"/>
          <w:noProof/>
          <w:color w:val="000000"/>
          <w:sz w:val="24"/>
          <w:szCs w:val="24"/>
          <w:lang w:val="en-US"/>
        </w:rPr>
        <w:t xml:space="preserve"> unit cost based on additional costs and income foregone</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color w:val="000000"/>
          <w:sz w:val="24"/>
          <w:szCs w:val="24"/>
          <w:lang w:val="en-US"/>
        </w:rPr>
        <w:fldChar w:fldCharType="begin">
          <w:ffData>
            <w:name w:val="cb_TOPIACSB"/>
            <w:enabled/>
            <w:calcOnExit w:val="0"/>
            <w:checkBox>
              <w:size w:val="24"/>
              <w:default w:val="0"/>
              <w:checked w:val="0"/>
            </w:checkBox>
          </w:ffData>
        </w:fldChar>
      </w:r>
      <w:r w:rsidRPr="006B57FA">
        <w:rPr>
          <w:rFonts w:ascii="Times New Roman" w:eastAsia="Times New Roman" w:hAnsi="Times New Roman" w:cs="Times New Roman"/>
          <w:noProof/>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sidRPr="006B57FA">
        <w:rPr>
          <w:rFonts w:ascii="Times New Roman" w:eastAsia="Times New Roman" w:hAnsi="Times New Roman" w:cs="Times New Roman"/>
          <w:color w:val="000000"/>
          <w:sz w:val="24"/>
          <w:szCs w:val="24"/>
          <w:lang w:val="en-US"/>
        </w:rPr>
        <w:fldChar w:fldCharType="end"/>
      </w:r>
      <w:r w:rsidRPr="006B57FA">
        <w:rPr>
          <w:rFonts w:ascii="Times New Roman" w:eastAsia="Times New Roman" w:hAnsi="Times New Roman" w:cs="Times New Roman"/>
          <w:noProof/>
          <w:color w:val="000000"/>
          <w:sz w:val="24"/>
          <w:szCs w:val="24"/>
          <w:lang w:val="en-US"/>
        </w:rPr>
        <w:t xml:space="preserve"> transaction cost included</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color w:val="000000"/>
          <w:sz w:val="24"/>
          <w:szCs w:val="24"/>
          <w:lang w:val="en-US"/>
        </w:rPr>
        <w:fldChar w:fldCharType="begin">
          <w:ffData>
            <w:name w:val="cb_TOPIACSC"/>
            <w:enabled/>
            <w:calcOnExit w:val="0"/>
            <w:checkBox>
              <w:size w:val="24"/>
              <w:default w:val="0"/>
              <w:checked w:val="0"/>
            </w:checkBox>
          </w:ffData>
        </w:fldChar>
      </w:r>
      <w:r w:rsidRPr="006B57FA">
        <w:rPr>
          <w:rFonts w:ascii="Times New Roman" w:eastAsia="Times New Roman" w:hAnsi="Times New Roman" w:cs="Times New Roman"/>
          <w:noProof/>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sidRPr="006B57FA">
        <w:rPr>
          <w:rFonts w:ascii="Times New Roman" w:eastAsia="Times New Roman" w:hAnsi="Times New Roman" w:cs="Times New Roman"/>
          <w:color w:val="000000"/>
          <w:sz w:val="24"/>
          <w:szCs w:val="24"/>
          <w:lang w:val="en-US"/>
        </w:rPr>
        <w:fldChar w:fldCharType="end"/>
      </w:r>
      <w:r w:rsidRPr="006B57FA">
        <w:rPr>
          <w:rFonts w:ascii="Times New Roman" w:eastAsia="Times New Roman" w:hAnsi="Times New Roman" w:cs="Times New Roman"/>
          <w:noProof/>
          <w:color w:val="000000"/>
          <w:sz w:val="24"/>
          <w:szCs w:val="24"/>
          <w:lang w:val="en-US"/>
        </w:rPr>
        <w:t xml:space="preserve"> one off payment</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color w:val="000000"/>
          <w:sz w:val="24"/>
          <w:szCs w:val="24"/>
          <w:lang w:val="en-US"/>
        </w:rPr>
        <w:fldChar w:fldCharType="begin">
          <w:ffData>
            <w:name w:val="cb_TOPIACSD"/>
            <w:enabled/>
            <w:calcOnExit w:val="0"/>
            <w:checkBox>
              <w:size w:val="24"/>
              <w:default w:val="0"/>
              <w:checked w:val="0"/>
            </w:checkBox>
          </w:ffData>
        </w:fldChar>
      </w:r>
      <w:r w:rsidRPr="006B57FA">
        <w:rPr>
          <w:rFonts w:ascii="Times New Roman" w:eastAsia="Times New Roman" w:hAnsi="Times New Roman" w:cs="Times New Roman"/>
          <w:noProof/>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sidRPr="006B57FA">
        <w:rPr>
          <w:rFonts w:ascii="Times New Roman" w:eastAsia="Times New Roman" w:hAnsi="Times New Roman" w:cs="Times New Roman"/>
          <w:color w:val="000000"/>
          <w:sz w:val="24"/>
          <w:szCs w:val="24"/>
          <w:lang w:val="en-US"/>
        </w:rPr>
        <w:fldChar w:fldCharType="end"/>
      </w:r>
      <w:r w:rsidRPr="006B57FA">
        <w:rPr>
          <w:rFonts w:ascii="Times New Roman" w:eastAsia="Times New Roman" w:hAnsi="Times New Roman" w:cs="Times New Roman"/>
          <w:noProof/>
          <w:color w:val="000000"/>
          <w:sz w:val="24"/>
          <w:szCs w:val="24"/>
          <w:lang w:val="en-US"/>
        </w:rPr>
        <w:t xml:space="preserve"> lump sum</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Range of support at beneficiary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2"/>
      </w:tblGrid>
      <w:tr w:rsidR="006B57FA" w:rsidRPr="006B57FA"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bookmarkStart w:id="10" w:name="_GoBack"/>
            <w:bookmarkEnd w:id="10"/>
            <w:r w:rsidRPr="006B57FA">
              <w:rPr>
                <w:rFonts w:ascii="Times New Roman" w:eastAsia="Times New Roman" w:hAnsi="Times New Roman" w:cs="Times New Roman"/>
                <w:noProof/>
                <w:sz w:val="24"/>
                <w:szCs w:val="24"/>
                <w:lang w:val="en-US"/>
              </w:rPr>
              <w:t xml:space="preserve">Освен това, за да се спази бюджетния пакет, горна граница (таван) за стопанство може </w:t>
            </w:r>
            <w:r w:rsidRPr="006B57FA">
              <w:rPr>
                <w:rFonts w:ascii="Times New Roman" w:eastAsia="Times New Roman" w:hAnsi="Times New Roman" w:cs="Times New Roman"/>
                <w:noProof/>
                <w:sz w:val="24"/>
                <w:szCs w:val="24"/>
                <w:lang w:val="en-US"/>
              </w:rPr>
              <w:lastRenderedPageBreak/>
              <w:t>да се определи ежегодно. Тя ще бъде приложена към общата сума на плащането, отпуснато на бенефициента съгласно степента, в която е ангажиран.</w:t>
            </w:r>
          </w:p>
        </w:tc>
      </w:tr>
    </w:tbl>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lastRenderedPageBreak/>
        <w:t>Calculation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2"/>
      </w:tblGrid>
      <w:tr w:rsidR="006B57FA" w:rsidRPr="006B57FA"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shd w:val="clear" w:color="auto" w:fill="FFFFFF"/>
                <w:lang w:val="en-US"/>
              </w:rPr>
              <w:t>Въз основа на допълнително направените разходи и пропуснатите приходи, произтичащи от поетите задължения</w:t>
            </w:r>
            <w:r w:rsidRPr="006B57FA">
              <w:rPr>
                <w:rFonts w:ascii="Times New Roman" w:eastAsia="Times New Roman" w:hAnsi="Times New Roman" w:cs="Times New Roman"/>
                <w:noProof/>
                <w:sz w:val="24"/>
                <w:szCs w:val="24"/>
                <w:lang w:val="en-US"/>
              </w:rPr>
              <w:t>. Годишният размер на подпомагане за дейността има компенсаторен характер съгласно чл. 82 от Регламент (ЕС) 2021/2115 на Европейския парламент и на Съвета от 2 декември 2021 година, при спазване на изискването за приравняване на 1 ЖЕ към 1 хектар. Когато броят на ЖЕ е по-малък от размера на площта в хектари, се предоставя годишно плащане, съответстващо на броя на ЖЕ.</w:t>
            </w:r>
          </w:p>
        </w:tc>
      </w:tr>
    </w:tbl>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Additional explanation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2"/>
      </w:tblGrid>
      <w:tr w:rsidR="006B57FA" w:rsidRPr="006B57FA"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Плащането се изчислява като вземат предвид допълнителните разходи за: транспорт на животните до националните паркове, настаняване и устройване на стадата, за допълнителен труд, за наем на високопланински пасища иувеличени разходи за ветеринарно обслужване във високопланински пасища. Изчислението се извършва чрез натрупване на тези разходи: към произведението на допълнителния труд за минималните 90 дни и годишната норма на заплащане се добавят горепосочените категории разходи. Така се формира подпомагането на хектар и ЖЕ, като при наличие на каракачански овчарски кучета се добавят разходите по изхранването и отглеждането им.</w:t>
            </w:r>
          </w:p>
        </w:tc>
      </w:tr>
    </w:tbl>
    <w:p w:rsidR="006B57FA" w:rsidRPr="006B57FA" w:rsidRDefault="006B57FA" w:rsidP="006B57FA">
      <w:pPr>
        <w:spacing w:before="20" w:after="20" w:line="240" w:lineRule="auto"/>
        <w:outlineLvl w:val="4"/>
        <w:rPr>
          <w:rFonts w:ascii="Times New Roman" w:eastAsia="Times New Roman" w:hAnsi="Times New Roman" w:cs="Times New Roman"/>
          <w:bCs/>
          <w:iCs/>
          <w:color w:val="000000"/>
          <w:sz w:val="24"/>
          <w:szCs w:val="26"/>
          <w:lang w:val="en-US"/>
        </w:rPr>
      </w:pPr>
      <w:bookmarkStart w:id="11" w:name="_Toc256001065"/>
      <w:r w:rsidRPr="006B57FA">
        <w:rPr>
          <w:rFonts w:ascii="Times New Roman" w:eastAsia="Times New Roman" w:hAnsi="Times New Roman" w:cs="Times New Roman"/>
          <w:bCs/>
          <w:iCs/>
          <w:noProof/>
          <w:color w:val="000000"/>
          <w:sz w:val="24"/>
          <w:szCs w:val="26"/>
          <w:lang w:val="en-US"/>
        </w:rPr>
        <w:t>8 Information regarding State aid assessment</w:t>
      </w:r>
      <w:bookmarkEnd w:id="11"/>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The intervention falls outside the scope of Article 42 TFEU and is subject to state aid assessment:</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color w:val="000000"/>
          <w:sz w:val="24"/>
          <w:szCs w:val="24"/>
          <w:lang w:val="en-US"/>
        </w:rPr>
        <w:fldChar w:fldCharType="begin">
          <w:ffData>
            <w:name w:val="cb_RD_SAA_SCOPE_0"/>
            <w:enabled/>
            <w:calcOnExit w:val="0"/>
            <w:checkBox>
              <w:size w:val="24"/>
              <w:default w:val="0"/>
              <w:checked w:val="0"/>
            </w:checkBox>
          </w:ffData>
        </w:fldChar>
      </w:r>
      <w:r w:rsidRPr="006B57FA">
        <w:rPr>
          <w:rFonts w:ascii="Times New Roman" w:eastAsia="Times New Roman" w:hAnsi="Times New Roman" w:cs="Times New Roman"/>
          <w:noProof/>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sidRPr="006B57FA">
        <w:rPr>
          <w:rFonts w:ascii="Times New Roman" w:eastAsia="Times New Roman" w:hAnsi="Times New Roman" w:cs="Times New Roman"/>
          <w:color w:val="000000"/>
          <w:sz w:val="24"/>
          <w:szCs w:val="24"/>
          <w:lang w:val="en-US"/>
        </w:rPr>
        <w:fldChar w:fldCharType="end"/>
      </w:r>
      <w:r w:rsidRPr="006B57FA">
        <w:rPr>
          <w:rFonts w:ascii="Times New Roman" w:eastAsia="Times New Roman" w:hAnsi="Times New Roman" w:cs="Times New Roman"/>
          <w:noProof/>
          <w:color w:val="000000"/>
          <w:sz w:val="24"/>
          <w:szCs w:val="24"/>
          <w:lang w:val="en-US"/>
        </w:rPr>
        <w:t xml:space="preserve"> Да      </w:t>
      </w:r>
      <w:r w:rsidRPr="006B57FA">
        <w:rPr>
          <w:rFonts w:ascii="Times New Roman" w:eastAsia="Times New Roman" w:hAnsi="Times New Roman" w:cs="Times New Roman"/>
          <w:color w:val="000000"/>
          <w:sz w:val="24"/>
          <w:szCs w:val="24"/>
          <w:lang w:val="en-US"/>
        </w:rPr>
        <w:fldChar w:fldCharType="begin">
          <w:ffData>
            <w:name w:val="cb_RD_SAA_SCOPE_1"/>
            <w:enabled/>
            <w:calcOnExit w:val="0"/>
            <w:checkBox>
              <w:size w:val="24"/>
              <w:default w:val="1"/>
              <w:checked/>
            </w:checkBox>
          </w:ffData>
        </w:fldChar>
      </w:r>
      <w:r w:rsidRPr="006B57FA">
        <w:rPr>
          <w:rFonts w:ascii="Times New Roman" w:eastAsia="Times New Roman" w:hAnsi="Times New Roman" w:cs="Times New Roman"/>
          <w:noProof/>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sidRPr="006B57FA">
        <w:rPr>
          <w:rFonts w:ascii="Times New Roman" w:eastAsia="Times New Roman" w:hAnsi="Times New Roman" w:cs="Times New Roman"/>
          <w:color w:val="000000"/>
          <w:sz w:val="24"/>
          <w:szCs w:val="24"/>
          <w:lang w:val="en-US"/>
        </w:rPr>
        <w:fldChar w:fldCharType="end"/>
      </w:r>
      <w:r w:rsidRPr="006B57FA">
        <w:rPr>
          <w:rFonts w:ascii="Times New Roman" w:eastAsia="Times New Roman" w:hAnsi="Times New Roman" w:cs="Times New Roman"/>
          <w:noProof/>
          <w:color w:val="000000"/>
          <w:sz w:val="24"/>
          <w:szCs w:val="24"/>
          <w:lang w:val="en-US"/>
        </w:rPr>
        <w:t xml:space="preserve"> Не      </w:t>
      </w:r>
      <w:r w:rsidRPr="006B57FA">
        <w:rPr>
          <w:rFonts w:ascii="Times New Roman" w:eastAsia="Times New Roman" w:hAnsi="Times New Roman" w:cs="Times New Roman"/>
          <w:color w:val="000000"/>
          <w:sz w:val="24"/>
          <w:szCs w:val="24"/>
          <w:lang w:val="en-US"/>
        </w:rPr>
        <w:fldChar w:fldCharType="begin">
          <w:ffData>
            <w:name w:val="cb_RD_SAA_SCOPE_2"/>
            <w:enabled/>
            <w:calcOnExit w:val="0"/>
            <w:checkBox>
              <w:size w:val="24"/>
              <w:default w:val="0"/>
              <w:checked w:val="0"/>
            </w:checkBox>
          </w:ffData>
        </w:fldChar>
      </w:r>
      <w:r w:rsidRPr="006B57FA">
        <w:rPr>
          <w:rFonts w:ascii="Times New Roman" w:eastAsia="Times New Roman" w:hAnsi="Times New Roman" w:cs="Times New Roman"/>
          <w:noProof/>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sidRPr="006B57FA">
        <w:rPr>
          <w:rFonts w:ascii="Times New Roman" w:eastAsia="Times New Roman" w:hAnsi="Times New Roman" w:cs="Times New Roman"/>
          <w:color w:val="000000"/>
          <w:sz w:val="24"/>
          <w:szCs w:val="24"/>
          <w:lang w:val="en-US"/>
        </w:rPr>
        <w:fldChar w:fldCharType="end"/>
      </w:r>
      <w:r w:rsidRPr="006B57FA">
        <w:rPr>
          <w:rFonts w:ascii="Times New Roman" w:eastAsia="Times New Roman" w:hAnsi="Times New Roman" w:cs="Times New Roman"/>
          <w:noProof/>
          <w:color w:val="000000"/>
          <w:sz w:val="24"/>
          <w:szCs w:val="24"/>
          <w:lang w:val="en-US"/>
        </w:rPr>
        <w:t xml:space="preserve"> Mixed      </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Type of state aid instrument to be used for clearence:</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color w:val="000000"/>
          <w:sz w:val="24"/>
          <w:szCs w:val="24"/>
          <w:lang w:val="en-US"/>
        </w:rPr>
        <w:fldChar w:fldCharType="begin">
          <w:ffData>
            <w:name w:val=""/>
            <w:enabled/>
            <w:calcOnExit w:val="0"/>
            <w:checkBox>
              <w:size w:val="24"/>
              <w:default w:val="0"/>
              <w:checked w:val="0"/>
            </w:checkBox>
          </w:ffData>
        </w:fldChar>
      </w:r>
      <w:r w:rsidRPr="006B57FA">
        <w:rPr>
          <w:rFonts w:ascii="Times New Roman" w:eastAsia="Times New Roman" w:hAnsi="Times New Roman" w:cs="Times New Roman"/>
          <w:noProof/>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sidRPr="006B57FA">
        <w:rPr>
          <w:rFonts w:ascii="Times New Roman" w:eastAsia="Times New Roman" w:hAnsi="Times New Roman" w:cs="Times New Roman"/>
          <w:color w:val="000000"/>
          <w:sz w:val="24"/>
          <w:szCs w:val="24"/>
          <w:lang w:val="en-US"/>
        </w:rPr>
        <w:fldChar w:fldCharType="end"/>
      </w:r>
      <w:r w:rsidRPr="006B57FA">
        <w:rPr>
          <w:rFonts w:ascii="Times New Roman" w:eastAsia="Times New Roman" w:hAnsi="Times New Roman" w:cs="Times New Roman"/>
          <w:noProof/>
          <w:color w:val="000000"/>
          <w:sz w:val="24"/>
          <w:szCs w:val="24"/>
          <w:lang w:val="en-US"/>
        </w:rPr>
        <w:t xml:space="preserve"> Notification      </w:t>
      </w:r>
      <w:r w:rsidRPr="006B57FA">
        <w:rPr>
          <w:rFonts w:ascii="Times New Roman" w:eastAsia="Times New Roman" w:hAnsi="Times New Roman" w:cs="Times New Roman"/>
          <w:color w:val="000000"/>
          <w:sz w:val="24"/>
          <w:szCs w:val="24"/>
          <w:lang w:val="en-US"/>
        </w:rPr>
        <w:fldChar w:fldCharType="begin">
          <w:ffData>
            <w:name w:val=""/>
            <w:enabled/>
            <w:calcOnExit w:val="0"/>
            <w:checkBox>
              <w:size w:val="24"/>
              <w:default w:val="0"/>
              <w:checked w:val="0"/>
            </w:checkBox>
          </w:ffData>
        </w:fldChar>
      </w:r>
      <w:r w:rsidRPr="006B57FA">
        <w:rPr>
          <w:rFonts w:ascii="Times New Roman" w:eastAsia="Times New Roman" w:hAnsi="Times New Roman" w:cs="Times New Roman"/>
          <w:noProof/>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sidRPr="006B57FA">
        <w:rPr>
          <w:rFonts w:ascii="Times New Roman" w:eastAsia="Times New Roman" w:hAnsi="Times New Roman" w:cs="Times New Roman"/>
          <w:color w:val="000000"/>
          <w:sz w:val="24"/>
          <w:szCs w:val="24"/>
          <w:lang w:val="en-US"/>
        </w:rPr>
        <w:fldChar w:fldCharType="end"/>
      </w:r>
      <w:r w:rsidRPr="006B57FA">
        <w:rPr>
          <w:rFonts w:ascii="Times New Roman" w:eastAsia="Times New Roman" w:hAnsi="Times New Roman" w:cs="Times New Roman"/>
          <w:noProof/>
          <w:color w:val="000000"/>
          <w:sz w:val="24"/>
          <w:szCs w:val="24"/>
          <w:lang w:val="en-US"/>
        </w:rPr>
        <w:t xml:space="preserve"> GBER      </w:t>
      </w:r>
      <w:r w:rsidRPr="006B57FA">
        <w:rPr>
          <w:rFonts w:ascii="Times New Roman" w:eastAsia="Times New Roman" w:hAnsi="Times New Roman" w:cs="Times New Roman"/>
          <w:color w:val="000000"/>
          <w:sz w:val="24"/>
          <w:szCs w:val="24"/>
          <w:lang w:val="en-US"/>
        </w:rPr>
        <w:fldChar w:fldCharType="begin">
          <w:ffData>
            <w:name w:val=""/>
            <w:enabled/>
            <w:calcOnExit w:val="0"/>
            <w:checkBox>
              <w:size w:val="24"/>
              <w:default w:val="0"/>
              <w:checked w:val="0"/>
            </w:checkBox>
          </w:ffData>
        </w:fldChar>
      </w:r>
      <w:r w:rsidRPr="006B57FA">
        <w:rPr>
          <w:rFonts w:ascii="Times New Roman" w:eastAsia="Times New Roman" w:hAnsi="Times New Roman" w:cs="Times New Roman"/>
          <w:noProof/>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sidRPr="006B57FA">
        <w:rPr>
          <w:rFonts w:ascii="Times New Roman" w:eastAsia="Times New Roman" w:hAnsi="Times New Roman" w:cs="Times New Roman"/>
          <w:color w:val="000000"/>
          <w:sz w:val="24"/>
          <w:szCs w:val="24"/>
          <w:lang w:val="en-US"/>
        </w:rPr>
        <w:fldChar w:fldCharType="end"/>
      </w:r>
      <w:r w:rsidRPr="006B57FA">
        <w:rPr>
          <w:rFonts w:ascii="Times New Roman" w:eastAsia="Times New Roman" w:hAnsi="Times New Roman" w:cs="Times New Roman"/>
          <w:noProof/>
          <w:color w:val="000000"/>
          <w:sz w:val="24"/>
          <w:szCs w:val="24"/>
          <w:lang w:val="en-US"/>
        </w:rPr>
        <w:t xml:space="preserve"> ABER      </w:t>
      </w:r>
      <w:r w:rsidRPr="006B57FA">
        <w:rPr>
          <w:rFonts w:ascii="Times New Roman" w:eastAsia="Times New Roman" w:hAnsi="Times New Roman" w:cs="Times New Roman"/>
          <w:color w:val="000000"/>
          <w:sz w:val="24"/>
          <w:szCs w:val="24"/>
          <w:lang w:val="en-US"/>
        </w:rPr>
        <w:fldChar w:fldCharType="begin">
          <w:ffData>
            <w:name w:val=""/>
            <w:enabled/>
            <w:calcOnExit w:val="0"/>
            <w:checkBox>
              <w:size w:val="24"/>
              <w:default w:val="0"/>
              <w:checked w:val="0"/>
            </w:checkBox>
          </w:ffData>
        </w:fldChar>
      </w:r>
      <w:r w:rsidRPr="006B57FA">
        <w:rPr>
          <w:rFonts w:ascii="Times New Roman" w:eastAsia="Times New Roman" w:hAnsi="Times New Roman" w:cs="Times New Roman"/>
          <w:noProof/>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sidRPr="006B57FA">
        <w:rPr>
          <w:rFonts w:ascii="Times New Roman" w:eastAsia="Times New Roman" w:hAnsi="Times New Roman" w:cs="Times New Roman"/>
          <w:color w:val="000000"/>
          <w:sz w:val="24"/>
          <w:szCs w:val="24"/>
          <w:lang w:val="en-US"/>
        </w:rPr>
        <w:fldChar w:fldCharType="end"/>
      </w:r>
      <w:r w:rsidRPr="006B57FA">
        <w:rPr>
          <w:rFonts w:ascii="Times New Roman" w:eastAsia="Times New Roman" w:hAnsi="Times New Roman" w:cs="Times New Roman"/>
          <w:noProof/>
          <w:color w:val="000000"/>
          <w:sz w:val="24"/>
          <w:szCs w:val="24"/>
          <w:lang w:val="en-US"/>
        </w:rPr>
        <w:t xml:space="preserve"> de minimis      </w:t>
      </w:r>
    </w:p>
    <w:p w:rsidR="006B57FA" w:rsidRPr="006B57FA" w:rsidRDefault="006B57FA" w:rsidP="006B57FA">
      <w:pPr>
        <w:spacing w:before="20" w:after="20" w:line="240" w:lineRule="auto"/>
        <w:outlineLvl w:val="4"/>
        <w:rPr>
          <w:rFonts w:ascii="Times New Roman" w:eastAsia="Times New Roman" w:hAnsi="Times New Roman" w:cs="Times New Roman"/>
          <w:bCs/>
          <w:iCs/>
          <w:color w:val="000000"/>
          <w:sz w:val="24"/>
          <w:szCs w:val="26"/>
          <w:lang w:val="en-US"/>
        </w:rPr>
      </w:pPr>
      <w:bookmarkStart w:id="12" w:name="_Toc256001066"/>
      <w:r w:rsidRPr="006B57FA">
        <w:rPr>
          <w:rFonts w:ascii="Times New Roman" w:eastAsia="Times New Roman" w:hAnsi="Times New Roman" w:cs="Times New Roman"/>
          <w:bCs/>
          <w:iCs/>
          <w:noProof/>
          <w:color w:val="000000"/>
          <w:sz w:val="24"/>
          <w:szCs w:val="26"/>
          <w:lang w:val="en-US"/>
        </w:rPr>
        <w:t>9 Additional questions/information specific to the Type of Intervention</w:t>
      </w:r>
      <w:bookmarkEnd w:id="12"/>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What are the models of the commitment(s) in the intervention?</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color w:val="000000"/>
          <w:sz w:val="24"/>
          <w:szCs w:val="24"/>
          <w:lang w:val="en-US"/>
        </w:rPr>
        <w:fldChar w:fldCharType="begin">
          <w:ffData>
            <w:name w:val="cb_ENVCLIMA_TYPE_1"/>
            <w:enabled/>
            <w:calcOnExit w:val="0"/>
            <w:checkBox>
              <w:size w:val="24"/>
              <w:default w:val="0"/>
              <w:checked w:val="0"/>
            </w:checkBox>
          </w:ffData>
        </w:fldChar>
      </w:r>
      <w:r w:rsidRPr="006B57FA">
        <w:rPr>
          <w:rFonts w:ascii="Times New Roman" w:eastAsia="Times New Roman" w:hAnsi="Times New Roman" w:cs="Times New Roman"/>
          <w:noProof/>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sidRPr="006B57FA">
        <w:rPr>
          <w:rFonts w:ascii="Times New Roman" w:eastAsia="Times New Roman" w:hAnsi="Times New Roman" w:cs="Times New Roman"/>
          <w:color w:val="000000"/>
          <w:sz w:val="24"/>
          <w:szCs w:val="24"/>
          <w:lang w:val="en-US"/>
        </w:rPr>
        <w:fldChar w:fldCharType="end"/>
      </w:r>
      <w:r w:rsidRPr="006B57FA">
        <w:rPr>
          <w:rFonts w:ascii="Times New Roman" w:eastAsia="Times New Roman" w:hAnsi="Times New Roman" w:cs="Times New Roman"/>
          <w:noProof/>
          <w:color w:val="000000"/>
          <w:sz w:val="24"/>
          <w:szCs w:val="24"/>
          <w:lang w:val="en-US"/>
        </w:rPr>
        <w:t xml:space="preserve"> result based (with possibility to pick and choose)</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color w:val="000000"/>
          <w:sz w:val="24"/>
          <w:szCs w:val="24"/>
          <w:lang w:val="en-US"/>
        </w:rPr>
        <w:fldChar w:fldCharType="begin">
          <w:ffData>
            <w:name w:val="cb_ENVCLIMA_TYPE_2"/>
            <w:enabled/>
            <w:calcOnExit w:val="0"/>
            <w:checkBox>
              <w:size w:val="24"/>
              <w:default w:val="1"/>
              <w:checked/>
            </w:checkBox>
          </w:ffData>
        </w:fldChar>
      </w:r>
      <w:r w:rsidRPr="006B57FA">
        <w:rPr>
          <w:rFonts w:ascii="Times New Roman" w:eastAsia="Times New Roman" w:hAnsi="Times New Roman" w:cs="Times New Roman"/>
          <w:noProof/>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sidRPr="006B57FA">
        <w:rPr>
          <w:rFonts w:ascii="Times New Roman" w:eastAsia="Times New Roman" w:hAnsi="Times New Roman" w:cs="Times New Roman"/>
          <w:color w:val="000000"/>
          <w:sz w:val="24"/>
          <w:szCs w:val="24"/>
          <w:lang w:val="en-US"/>
        </w:rPr>
        <w:fldChar w:fldCharType="end"/>
      </w:r>
      <w:r w:rsidRPr="006B57FA">
        <w:rPr>
          <w:rFonts w:ascii="Times New Roman" w:eastAsia="Times New Roman" w:hAnsi="Times New Roman" w:cs="Times New Roman"/>
          <w:noProof/>
          <w:color w:val="000000"/>
          <w:sz w:val="24"/>
          <w:szCs w:val="24"/>
          <w:lang w:val="en-US"/>
        </w:rPr>
        <w:t xml:space="preserve"> management based (with possibility to pick and choose)</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color w:val="000000"/>
          <w:sz w:val="24"/>
          <w:szCs w:val="24"/>
          <w:lang w:val="en-US"/>
        </w:rPr>
        <w:fldChar w:fldCharType="begin">
          <w:ffData>
            <w:name w:val="cb_ENVCLIMA_TYPE_3"/>
            <w:enabled/>
            <w:calcOnExit w:val="0"/>
            <w:checkBox>
              <w:size w:val="24"/>
              <w:default w:val="0"/>
              <w:checked w:val="0"/>
            </w:checkBox>
          </w:ffData>
        </w:fldChar>
      </w:r>
      <w:r w:rsidRPr="006B57FA">
        <w:rPr>
          <w:rFonts w:ascii="Times New Roman" w:eastAsia="Times New Roman" w:hAnsi="Times New Roman" w:cs="Times New Roman"/>
          <w:noProof/>
          <w:color w:val="000000"/>
          <w:sz w:val="24"/>
          <w:szCs w:val="24"/>
          <w:lang w:val="en-US"/>
        </w:rPr>
        <w:instrText xml:space="preserve"> FORMCHECKBOX </w:instrText>
      </w:r>
      <w:r w:rsidR="003E2223">
        <w:rPr>
          <w:rFonts w:ascii="Times New Roman" w:eastAsia="Times New Roman" w:hAnsi="Times New Roman" w:cs="Times New Roman"/>
          <w:color w:val="000000"/>
          <w:sz w:val="24"/>
          <w:szCs w:val="24"/>
          <w:lang w:val="en-US"/>
        </w:rPr>
      </w:r>
      <w:r w:rsidR="003E2223">
        <w:rPr>
          <w:rFonts w:ascii="Times New Roman" w:eastAsia="Times New Roman" w:hAnsi="Times New Roman" w:cs="Times New Roman"/>
          <w:color w:val="000000"/>
          <w:sz w:val="24"/>
          <w:szCs w:val="24"/>
          <w:lang w:val="en-US"/>
        </w:rPr>
        <w:fldChar w:fldCharType="separate"/>
      </w:r>
      <w:r w:rsidRPr="006B57FA">
        <w:rPr>
          <w:rFonts w:ascii="Times New Roman" w:eastAsia="Times New Roman" w:hAnsi="Times New Roman" w:cs="Times New Roman"/>
          <w:color w:val="000000"/>
          <w:sz w:val="24"/>
          <w:szCs w:val="24"/>
          <w:lang w:val="en-US"/>
        </w:rPr>
        <w:fldChar w:fldCharType="end"/>
      </w:r>
      <w:r w:rsidRPr="006B57FA">
        <w:rPr>
          <w:rFonts w:ascii="Times New Roman" w:eastAsia="Times New Roman" w:hAnsi="Times New Roman" w:cs="Times New Roman"/>
          <w:noProof/>
          <w:color w:val="000000"/>
          <w:sz w:val="24"/>
          <w:szCs w:val="24"/>
          <w:lang w:val="en-US"/>
        </w:rPr>
        <w:t xml:space="preserve"> hybrid (management and result based)</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Please explain the obligations/possibilities for beneficiaries in relation to the commitments set out in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2"/>
      </w:tblGrid>
      <w:tr w:rsidR="006B57FA" w:rsidRPr="006B57FA"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В интервенцията са включени две операции, като в зависимост от това дали стадата се придружават от кучетата от порода „Българско овчарско куче“.</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В случай на изменения в съответните задължителни стандарти, изисквания или задължения, посочени в чл.70, параграф 3 от РСП, които поетите задължения трябва да надхвърлят, и за да се гарантира спазването разпоредбите на параграф 7 се предоставя възможност за преразглеждане, за да се гарантира адаптиране на ангажиментите. Когато тези корекции не бъдат приети от бенефициера, ангажиментът отпада и не се изисква възстановяване на средства по отношение на периода, през който е изпълняван ангажиментът.</w:t>
            </w:r>
          </w:p>
          <w:p w:rsidR="006B57FA" w:rsidRPr="006B57FA" w:rsidRDefault="006B57FA" w:rsidP="006B57FA">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t>По преценка и предписание на Дирекциите на националните и природните паркове, пашата върху даден парцел може да бъде преустановена за определен период в зависимост от екологичното състояние на пасищата и целесъобразността на пашата.</w:t>
            </w:r>
          </w:p>
        </w:tc>
      </w:tr>
    </w:tbl>
    <w:p w:rsidR="006B57FA" w:rsidRPr="006B57FA" w:rsidRDefault="006B57FA" w:rsidP="006B57FA">
      <w:pPr>
        <w:spacing w:before="20" w:after="20" w:line="240" w:lineRule="auto"/>
        <w:rPr>
          <w:rFonts w:ascii="Times New Roman" w:eastAsia="Times New Roman" w:hAnsi="Times New Roman" w:cs="Times New Roman"/>
          <w:color w:val="000000"/>
          <w:sz w:val="0"/>
          <w:szCs w:val="24"/>
          <w:lang w:val="en-US"/>
        </w:rPr>
      </w:pP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What is the duration of contracts?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2"/>
      </w:tblGrid>
      <w:tr w:rsidR="006B57FA" w:rsidRPr="006B57FA"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6B57FA" w:rsidRDefault="006B57FA" w:rsidP="00381415">
            <w:pPr>
              <w:spacing w:before="40" w:after="40" w:line="240" w:lineRule="auto"/>
              <w:rPr>
                <w:rFonts w:ascii="Times New Roman" w:eastAsia="Times New Roman" w:hAnsi="Times New Roman" w:cs="Times New Roman"/>
                <w:sz w:val="24"/>
                <w:szCs w:val="24"/>
                <w:lang w:val="en-US"/>
              </w:rPr>
            </w:pPr>
            <w:r w:rsidRPr="006B57FA">
              <w:rPr>
                <w:rFonts w:ascii="Times New Roman" w:eastAsia="Times New Roman" w:hAnsi="Times New Roman" w:cs="Times New Roman"/>
                <w:noProof/>
                <w:sz w:val="24"/>
                <w:szCs w:val="24"/>
                <w:lang w:val="en-US"/>
              </w:rPr>
              <w:lastRenderedPageBreak/>
              <w:t xml:space="preserve">Ангажиментите за срок </w:t>
            </w:r>
            <w:r w:rsidR="00381415" w:rsidRPr="004E2AFA">
              <w:rPr>
                <w:rFonts w:ascii="Times New Roman" w:eastAsia="Times New Roman" w:hAnsi="Times New Roman" w:cs="Times New Roman"/>
                <w:noProof/>
                <w:color w:val="FF0000"/>
                <w:sz w:val="24"/>
                <w:szCs w:val="24"/>
                <w:lang w:val="bg-BG"/>
              </w:rPr>
              <w:t>от</w:t>
            </w:r>
            <w:r w:rsidRPr="006B57FA">
              <w:rPr>
                <w:rFonts w:ascii="Times New Roman" w:eastAsia="Times New Roman" w:hAnsi="Times New Roman" w:cs="Times New Roman"/>
                <w:noProof/>
                <w:sz w:val="24"/>
                <w:szCs w:val="24"/>
                <w:lang w:val="en-US"/>
              </w:rPr>
              <w:t xml:space="preserve"> 5 години, като по преценка и предписание на Дирекциите на националните и природните паркове, и органите по управление на защитените зони, пашата върху даден парцел може да бъде преустановена.</w:t>
            </w:r>
          </w:p>
        </w:tc>
      </w:tr>
    </w:tbl>
    <w:p w:rsidR="006B57FA" w:rsidRPr="006B57FA" w:rsidRDefault="006B57FA" w:rsidP="006B57FA">
      <w:pPr>
        <w:spacing w:before="20" w:after="20" w:line="240" w:lineRule="auto"/>
        <w:rPr>
          <w:rFonts w:ascii="Times New Roman" w:eastAsia="Times New Roman" w:hAnsi="Times New Roman" w:cs="Times New Roman"/>
          <w:color w:val="000000"/>
          <w:sz w:val="0"/>
          <w:szCs w:val="24"/>
          <w:lang w:val="en-US"/>
        </w:rPr>
      </w:pP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p>
    <w:p w:rsidR="006B57FA" w:rsidRPr="006B57FA" w:rsidRDefault="006B57FA" w:rsidP="006B57FA">
      <w:pPr>
        <w:spacing w:before="20" w:after="20" w:line="240" w:lineRule="auto"/>
        <w:outlineLvl w:val="4"/>
        <w:rPr>
          <w:rFonts w:ascii="Times New Roman" w:eastAsia="Times New Roman" w:hAnsi="Times New Roman" w:cs="Times New Roman"/>
          <w:bCs/>
          <w:iCs/>
          <w:color w:val="000000"/>
          <w:sz w:val="24"/>
          <w:szCs w:val="26"/>
          <w:lang w:val="en-US"/>
        </w:rPr>
      </w:pPr>
      <w:bookmarkStart w:id="13" w:name="_Toc256001067"/>
      <w:r w:rsidRPr="006B57FA">
        <w:rPr>
          <w:rFonts w:ascii="Times New Roman" w:eastAsia="Times New Roman" w:hAnsi="Times New Roman" w:cs="Times New Roman"/>
          <w:bCs/>
          <w:iCs/>
          <w:noProof/>
          <w:color w:val="000000"/>
          <w:sz w:val="24"/>
          <w:szCs w:val="26"/>
          <w:lang w:val="en-US"/>
        </w:rPr>
        <w:t>10 WTO compliance</w:t>
      </w:r>
      <w:bookmarkEnd w:id="13"/>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 xml:space="preserve"> Зелена кутия</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Параграф 12 от приложение 2 към СТО</w:t>
      </w:r>
    </w:p>
    <w:p w:rsidR="006B57FA" w:rsidRPr="006B57FA" w:rsidRDefault="006B57FA" w:rsidP="006B57FA">
      <w:pPr>
        <w:spacing w:before="20" w:after="20" w:line="240" w:lineRule="auto"/>
        <w:rPr>
          <w:rFonts w:ascii="Times New Roman" w:eastAsia="Times New Roman" w:hAnsi="Times New Roman" w:cs="Times New Roman"/>
          <w:color w:val="000000"/>
          <w:sz w:val="24"/>
          <w:szCs w:val="24"/>
          <w:lang w:val="en-US"/>
        </w:rPr>
      </w:pPr>
      <w:r w:rsidRPr="006B57FA">
        <w:rPr>
          <w:rFonts w:ascii="Times New Roman" w:eastAsia="Times New Roman" w:hAnsi="Times New Roman" w:cs="Times New Roman"/>
          <w:noProof/>
          <w:color w:val="000000"/>
          <w:sz w:val="24"/>
          <w:szCs w:val="24"/>
          <w:lang w:val="en-US"/>
        </w:rPr>
        <w:t>Разяснение как интервенцията спазва съответните разпоредби на приложение 2 към Споразумението за СТО за селското стопанство, както е посочено в член 10 от настоящия регламент и в приложение II към него(зелена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2"/>
      </w:tblGrid>
      <w:tr w:rsidR="006B57FA" w:rsidRPr="006B57FA"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B57FA" w:rsidRPr="004657C4" w:rsidRDefault="006B57FA" w:rsidP="004E2AFA">
            <w:pPr>
              <w:spacing w:before="40" w:after="40" w:line="240" w:lineRule="auto"/>
              <w:jc w:val="both"/>
              <w:rPr>
                <w:rFonts w:ascii="Times New Roman" w:eastAsia="Times New Roman" w:hAnsi="Times New Roman" w:cs="Times New Roman"/>
                <w:sz w:val="24"/>
                <w:szCs w:val="24"/>
                <w:lang w:val="bg-BG"/>
              </w:rPr>
            </w:pPr>
            <w:r w:rsidRPr="006B57FA">
              <w:rPr>
                <w:rFonts w:ascii="Times New Roman" w:eastAsia="Times New Roman" w:hAnsi="Times New Roman" w:cs="Times New Roman"/>
                <w:noProof/>
                <w:sz w:val="24"/>
                <w:szCs w:val="24"/>
                <w:lang w:val="en-US"/>
              </w:rPr>
              <w:t>Интервенцията отговаря на критериите на параграф 12 от приложение 2 към Споразумението на СТО за селското стопанство (Зелена кутия), посочени в Приложение II към Регламент (ЕС) 2021/2115 на Европейския парламент и на Съвета от 2 декември 2021 година</w:t>
            </w:r>
            <w:r w:rsidR="004657C4" w:rsidRPr="004E2AFA">
              <w:rPr>
                <w:rFonts w:ascii="Times New Roman" w:eastAsia="Times New Roman" w:hAnsi="Times New Roman" w:cs="Times New Roman"/>
                <w:noProof/>
                <w:color w:val="FF0000"/>
                <w:sz w:val="24"/>
                <w:szCs w:val="24"/>
                <w:lang w:val="bg-BG"/>
              </w:rPr>
              <w:t>, като сумата на плащането е ограничено до пропуснатите разходи и загуба на доходи</w:t>
            </w:r>
            <w:r w:rsidR="00901D6B" w:rsidRPr="004E2AFA">
              <w:rPr>
                <w:rFonts w:ascii="Times New Roman" w:eastAsia="Times New Roman" w:hAnsi="Times New Roman" w:cs="Times New Roman"/>
                <w:noProof/>
                <w:color w:val="FF0000"/>
                <w:sz w:val="24"/>
                <w:szCs w:val="24"/>
                <w:lang w:val="en-US"/>
              </w:rPr>
              <w:t>.</w:t>
            </w:r>
          </w:p>
        </w:tc>
      </w:tr>
    </w:tbl>
    <w:p w:rsidR="008C7E96" w:rsidRDefault="003E2223" w:rsidP="0056267E"/>
    <w:sectPr w:rsidR="008C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7FA"/>
    <w:rsid w:val="000B1009"/>
    <w:rsid w:val="00273BF9"/>
    <w:rsid w:val="003324FF"/>
    <w:rsid w:val="00337EA2"/>
    <w:rsid w:val="00381415"/>
    <w:rsid w:val="003E2223"/>
    <w:rsid w:val="00456C9D"/>
    <w:rsid w:val="004657C4"/>
    <w:rsid w:val="004E2AFA"/>
    <w:rsid w:val="005460D3"/>
    <w:rsid w:val="0056267E"/>
    <w:rsid w:val="00603C3A"/>
    <w:rsid w:val="006B57FA"/>
    <w:rsid w:val="00901D6B"/>
    <w:rsid w:val="00A5505D"/>
    <w:rsid w:val="00F64E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24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4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24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4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2351</Words>
  <Characters>13403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Borislava Tsolova</dc:creator>
  <cp:lastModifiedBy>Elena A. Ivanova</cp:lastModifiedBy>
  <cp:revision>3</cp:revision>
  <dcterms:created xsi:type="dcterms:W3CDTF">2022-09-27T14:53:00Z</dcterms:created>
  <dcterms:modified xsi:type="dcterms:W3CDTF">2022-09-27T15:17:00Z</dcterms:modified>
</cp:coreProperties>
</file>